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85F68C" w14:textId="24F328E9" w:rsidR="002D6D68" w:rsidRPr="00D609B0" w:rsidRDefault="00AF5B84" w:rsidP="002D6D68">
      <w:pPr>
        <w:ind w:right="-630"/>
        <w:jc w:val="both"/>
        <w:rPr>
          <w:b/>
          <w:sz w:val="26"/>
        </w:rPr>
      </w:pPr>
      <w:r>
        <w:rPr>
          <w:b/>
          <w:sz w:val="26"/>
        </w:rPr>
        <w:t xml:space="preserve"> </w:t>
      </w:r>
      <w:r w:rsidR="002D6D68" w:rsidRPr="00D609B0">
        <w:rPr>
          <w:b/>
          <w:sz w:val="26"/>
        </w:rPr>
        <w:t xml:space="preserve">ỦY BAN NHÂN DÂN                   CỘNG HÒA XÃ HỘI CHỦ NGHĨA VIỆT </w:t>
      </w:r>
      <w:smartTag w:uri="urn:schemas-microsoft-com:office:smarttags" w:element="country-region">
        <w:smartTag w:uri="urn:schemas-microsoft-com:office:smarttags" w:element="place">
          <w:r w:rsidR="002D6D68" w:rsidRPr="00D609B0">
            <w:rPr>
              <w:b/>
              <w:sz w:val="26"/>
            </w:rPr>
            <w:t>NAM</w:t>
          </w:r>
        </w:smartTag>
      </w:smartTag>
    </w:p>
    <w:p w14:paraId="1F5025BD" w14:textId="1F753D33" w:rsidR="002D6D68" w:rsidRPr="00D609B0" w:rsidRDefault="002D6D68" w:rsidP="00A0791C">
      <w:pPr>
        <w:pStyle w:val="Heading2"/>
        <w:rPr>
          <w:sz w:val="28"/>
        </w:rPr>
      </w:pPr>
      <w:r w:rsidRPr="00D609B0">
        <w:t xml:space="preserve">  </w:t>
      </w:r>
      <w:r w:rsidR="00AF5B84">
        <w:t xml:space="preserve"> </w:t>
      </w:r>
      <w:r w:rsidRPr="00D609B0">
        <w:t xml:space="preserve"> TỈNH TÂY NINH</w:t>
      </w:r>
      <w:r w:rsidRPr="00D609B0">
        <w:tab/>
      </w:r>
      <w:r w:rsidRPr="00D609B0">
        <w:tab/>
      </w:r>
      <w:r w:rsidR="002D421C">
        <w:t xml:space="preserve">                   </w:t>
      </w:r>
      <w:r w:rsidRPr="00D609B0">
        <w:rPr>
          <w:sz w:val="28"/>
        </w:rPr>
        <w:t>Độc lập - Tự do - Hạnh phúc</w:t>
      </w:r>
    </w:p>
    <w:p w14:paraId="60C48512" w14:textId="2DE4ED1D" w:rsidR="002D6D68" w:rsidRPr="00D609B0" w:rsidRDefault="00CE59B3" w:rsidP="002D6D68">
      <w:pPr>
        <w:jc w:val="both"/>
        <w:rPr>
          <w:sz w:val="26"/>
        </w:rPr>
      </w:pPr>
      <w:r>
        <w:rPr>
          <w:noProof/>
          <w:lang w:val="en-GB" w:eastAsia="en-GB"/>
        </w:rPr>
        <mc:AlternateContent>
          <mc:Choice Requires="wps">
            <w:drawing>
              <wp:anchor distT="0" distB="0" distL="114300" distR="114300" simplePos="0" relativeHeight="251659264" behindDoc="0" locked="0" layoutInCell="1" allowOverlap="1" wp14:anchorId="4E53DB8C" wp14:editId="138DD7DC">
                <wp:simplePos x="0" y="0"/>
                <wp:positionH relativeFrom="column">
                  <wp:posOffset>530860</wp:posOffset>
                </wp:positionH>
                <wp:positionV relativeFrom="paragraph">
                  <wp:posOffset>16510</wp:posOffset>
                </wp:positionV>
                <wp:extent cx="450850" cy="0"/>
                <wp:effectExtent l="0" t="0" r="25400" b="19050"/>
                <wp:wrapNone/>
                <wp:docPr id="4" name="Straight Connector 4"/>
                <wp:cNvGraphicFramePr/>
                <a:graphic xmlns:a="http://schemas.openxmlformats.org/drawingml/2006/main">
                  <a:graphicData uri="http://schemas.microsoft.com/office/word/2010/wordprocessingShape">
                    <wps:wsp>
                      <wps:cNvCnPr/>
                      <wps:spPr>
                        <a:xfrm>
                          <a:off x="0" y="0"/>
                          <a:ext cx="450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AF322ED"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1.8pt,1.3pt" to="77.3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" strokecolor="black [3040]"/>
            </w:pict>
          </mc:Fallback>
        </mc:AlternateContent>
      </w:r>
      <w:r w:rsidR="00882D7C">
        <w:rPr>
          <w:noProof/>
          <w:lang w:val="en-GB" w:eastAsia="en-GB"/>
        </w:rPr>
        <mc:AlternateContent>
          <mc:Choice Requires="wps">
            <w:drawing>
              <wp:anchor distT="0" distB="0" distL="114300" distR="114300" simplePos="0" relativeHeight="251660288" behindDoc="0" locked="0" layoutInCell="1" allowOverlap="1" wp14:anchorId="4A64FD93" wp14:editId="42692CCE">
                <wp:simplePos x="0" y="0"/>
                <wp:positionH relativeFrom="column">
                  <wp:posOffset>3077210</wp:posOffset>
                </wp:positionH>
                <wp:positionV relativeFrom="paragraph">
                  <wp:posOffset>29210</wp:posOffset>
                </wp:positionV>
                <wp:extent cx="216535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2165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FBEFA2" id="Straight Connector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42.3pt,2.3pt" to="412.8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" strokecolor="black [3040]"/>
            </w:pict>
          </mc:Fallback>
        </mc:AlternateContent>
      </w:r>
    </w:p>
    <w:p w14:paraId="6E31F354" w14:textId="3ECCC48A" w:rsidR="002D6D68" w:rsidRPr="00D609B0" w:rsidRDefault="002D6D68" w:rsidP="00A0791C">
      <w:pPr>
        <w:jc w:val="both"/>
        <w:rPr>
          <w:i/>
        </w:rPr>
      </w:pPr>
      <w:r w:rsidRPr="00D609B0">
        <w:rPr>
          <w:sz w:val="26"/>
        </w:rPr>
        <w:t>Số</w:t>
      </w:r>
      <w:r w:rsidR="001263AE">
        <w:rPr>
          <w:sz w:val="26"/>
        </w:rPr>
        <w:t xml:space="preserve">: </w:t>
      </w:r>
      <w:r w:rsidR="00742ECA">
        <w:rPr>
          <w:sz w:val="26"/>
        </w:rPr>
        <w:t xml:space="preserve"> </w:t>
      </w:r>
      <w:r w:rsidR="00AF5B84">
        <w:rPr>
          <w:sz w:val="26"/>
        </w:rPr>
        <w:t xml:space="preserve"> </w:t>
      </w:r>
      <w:r w:rsidR="00742ECA">
        <w:rPr>
          <w:sz w:val="26"/>
        </w:rPr>
        <w:t xml:space="preserve">  </w:t>
      </w:r>
      <w:r w:rsidR="00AF5B84">
        <w:rPr>
          <w:sz w:val="26"/>
        </w:rPr>
        <w:t xml:space="preserve"> </w:t>
      </w:r>
      <w:r w:rsidRPr="00D609B0">
        <w:rPr>
          <w:sz w:val="26"/>
        </w:rPr>
        <w:t>/</w:t>
      </w:r>
      <w:r w:rsidR="00742ECA">
        <w:rPr>
          <w:sz w:val="26"/>
        </w:rPr>
        <w:t>2023/</w:t>
      </w:r>
      <w:r w:rsidRPr="00D609B0">
        <w:rPr>
          <w:sz w:val="26"/>
        </w:rPr>
        <w:t>QĐ-UBND</w:t>
      </w:r>
      <w:r w:rsidRPr="00D609B0">
        <w:rPr>
          <w:sz w:val="26"/>
        </w:rPr>
        <w:tab/>
      </w:r>
      <w:r w:rsidRPr="00D609B0">
        <w:rPr>
          <w:sz w:val="26"/>
        </w:rPr>
        <w:tab/>
      </w:r>
      <w:r w:rsidR="00B41A54">
        <w:rPr>
          <w:sz w:val="26"/>
        </w:rPr>
        <w:t xml:space="preserve">            </w:t>
      </w:r>
      <w:r w:rsidR="00D16377">
        <w:rPr>
          <w:sz w:val="26"/>
        </w:rPr>
        <w:t xml:space="preserve"> </w:t>
      </w:r>
      <w:r w:rsidR="0085568D" w:rsidRPr="00D609B0">
        <w:rPr>
          <w:i/>
        </w:rPr>
        <w:t xml:space="preserve">Tây Ninh, ngày </w:t>
      </w:r>
      <w:r w:rsidR="002D421C">
        <w:rPr>
          <w:i/>
        </w:rPr>
        <w:t xml:space="preserve">     tháng    </w:t>
      </w:r>
      <w:r w:rsidR="00FF3A18" w:rsidRPr="00D609B0">
        <w:rPr>
          <w:i/>
        </w:rPr>
        <w:t>năm 20</w:t>
      </w:r>
      <w:r w:rsidR="00CB7CC0">
        <w:rPr>
          <w:i/>
        </w:rPr>
        <w:t>2</w:t>
      </w:r>
      <w:r w:rsidR="00742ECA">
        <w:rPr>
          <w:i/>
        </w:rPr>
        <w:t>3</w:t>
      </w:r>
    </w:p>
    <w:p w14:paraId="0D50DE05" w14:textId="71C2A61A" w:rsidR="00000A5E" w:rsidRPr="00D609B0" w:rsidRDefault="000C221E" w:rsidP="00000A5E">
      <w:pPr>
        <w:pStyle w:val="Heading1"/>
        <w:spacing w:before="60" w:after="60"/>
      </w:pPr>
      <w:r>
        <w:rPr>
          <w:noProof/>
          <w:lang w:val="en-GB" w:eastAsia="en-GB"/>
        </w:rPr>
        <mc:AlternateContent>
          <mc:Choice Requires="wps">
            <w:drawing>
              <wp:anchor distT="0" distB="0" distL="114300" distR="114300" simplePos="0" relativeHeight="251661312" behindDoc="0" locked="0" layoutInCell="1" allowOverlap="1" wp14:anchorId="121F1CDB" wp14:editId="708DD390">
                <wp:simplePos x="0" y="0"/>
                <wp:positionH relativeFrom="margin">
                  <wp:posOffset>92710</wp:posOffset>
                </wp:positionH>
                <wp:positionV relativeFrom="paragraph">
                  <wp:posOffset>239395</wp:posOffset>
                </wp:positionV>
                <wp:extent cx="1454150" cy="298450"/>
                <wp:effectExtent l="0" t="0" r="12700" b="25400"/>
                <wp:wrapNone/>
                <wp:docPr id="2" name="Text Box 2"/>
                <wp:cNvGraphicFramePr/>
                <a:graphic xmlns:a="http://schemas.openxmlformats.org/drawingml/2006/main">
                  <a:graphicData uri="http://schemas.microsoft.com/office/word/2010/wordprocessingShape">
                    <wps:wsp>
                      <wps:cNvSpPr txBox="1"/>
                      <wps:spPr>
                        <a:xfrm>
                          <a:off x="0" y="0"/>
                          <a:ext cx="1454150" cy="298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0375FAC" w14:textId="47A7AEF1" w:rsidR="00AF5B84" w:rsidRPr="00AF5B84" w:rsidRDefault="00AF5B84">
                            <w:pPr>
                              <w:rPr>
                                <w:sz w:val="26"/>
                                <w:szCs w:val="26"/>
                                <w:lang w:val="en-GB"/>
                              </w:rPr>
                            </w:pPr>
                            <w:r w:rsidRPr="00AF5B84">
                              <w:rPr>
                                <w:sz w:val="26"/>
                                <w:szCs w:val="26"/>
                                <w:lang w:val="en-GB"/>
                              </w:rPr>
                              <w:t xml:space="preserve">DỰ THẢO </w:t>
                            </w:r>
                            <w:r w:rsidR="00334D58">
                              <w:rPr>
                                <w:sz w:val="26"/>
                                <w:szCs w:val="26"/>
                                <w:lang w:val="en-GB"/>
                              </w:rPr>
                              <w:t>LẦN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1F1CDB" id="_x0000_t202" coordsize="21600,21600" o:spt="202" path="m,l,21600r21600,l21600,xe">
                <v:stroke joinstyle="miter"/>
                <v:path gradientshapeok="t" o:connecttype="rect"/>
              </v:shapetype>
              <v:shape id="Text Box 2" o:spid="_x0000_s1026" type="#_x0000_t202" style="position:absolute;left:0;text-align:left;margin-left:7.3pt;margin-top:18.85pt;width:114.5pt;height:2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" fillcolor="white [3201]" strokeweight=".5pt">
                <v:textbox>
                  <w:txbxContent>
                    <w:p w14:paraId="40375FAC" w14:textId="47A7AEF1" w:rsidR="00AF5B84" w:rsidRPr="00AF5B84" w:rsidRDefault="00AF5B84">
                      <w:pPr>
                        <w:rPr>
                          <w:sz w:val="26"/>
                          <w:szCs w:val="26"/>
                          <w:lang w:val="en-GB"/>
                        </w:rPr>
                      </w:pPr>
                      <w:r w:rsidRPr="00AF5B84">
                        <w:rPr>
                          <w:sz w:val="26"/>
                          <w:szCs w:val="26"/>
                          <w:lang w:val="en-GB"/>
                        </w:rPr>
                        <w:t xml:space="preserve">DỰ THẢO </w:t>
                      </w:r>
                      <w:r w:rsidR="00334D58">
                        <w:rPr>
                          <w:sz w:val="26"/>
                          <w:szCs w:val="26"/>
                          <w:lang w:val="en-GB"/>
                        </w:rPr>
                        <w:t>LẦN 2</w:t>
                      </w:r>
                    </w:p>
                  </w:txbxContent>
                </v:textbox>
                <w10:wrap anchorx="margin"/>
              </v:shape>
            </w:pict>
          </mc:Fallback>
        </mc:AlternateContent>
      </w:r>
    </w:p>
    <w:p w14:paraId="72622D12" w14:textId="732BC8C8" w:rsidR="002D6D68" w:rsidRPr="00D609B0" w:rsidRDefault="002D6D68" w:rsidP="00AF5B84">
      <w:pPr>
        <w:pStyle w:val="Heading1"/>
        <w:spacing w:before="240" w:after="120"/>
      </w:pPr>
      <w:r w:rsidRPr="00D609B0">
        <w:t xml:space="preserve"> QUYẾT ĐỊNH </w:t>
      </w:r>
    </w:p>
    <w:p w14:paraId="3B6801C7" w14:textId="03B0BF39" w:rsidR="000E77AA" w:rsidRPr="00041076" w:rsidRDefault="00332405" w:rsidP="000E77AA">
      <w:pPr>
        <w:pStyle w:val="Heading1"/>
      </w:pPr>
      <w:r>
        <w:t>Q</w:t>
      </w:r>
      <w:r w:rsidRPr="00A168A9">
        <w:t xml:space="preserve">uy định </w:t>
      </w:r>
      <w:bookmarkStart w:id="0" w:name="_Hlk136388867"/>
      <w:r w:rsidR="00B61F5A">
        <w:t>mức t</w:t>
      </w:r>
      <w:bookmarkStart w:id="1" w:name="_GoBack"/>
      <w:bookmarkEnd w:id="1"/>
      <w:r w:rsidR="00B61F5A">
        <w:t xml:space="preserve">rích và </w:t>
      </w:r>
      <w:r w:rsidRPr="00A168A9">
        <w:t xml:space="preserve">tỷ lệ phân chia kinh phí tổ chức thực hiện bồi thường, hỗ trợ tái định cư </w:t>
      </w:r>
      <w:r w:rsidR="00B83638">
        <w:t>và cưỡng chế kiểm đếm,</w:t>
      </w:r>
      <w:r w:rsidR="00B83638" w:rsidRPr="00B83638">
        <w:rPr>
          <w:szCs w:val="28"/>
          <w:bdr w:val="none" w:sz="0" w:space="0" w:color="auto" w:frame="1"/>
          <w:lang w:val="nl-NL"/>
        </w:rPr>
        <w:t xml:space="preserve"> </w:t>
      </w:r>
      <w:r w:rsidR="00B83638" w:rsidRPr="00A63A7C">
        <w:rPr>
          <w:szCs w:val="28"/>
          <w:bdr w:val="none" w:sz="0" w:space="0" w:color="auto" w:frame="1"/>
          <w:lang w:val="nl-NL"/>
        </w:rPr>
        <w:t>cưỡng chế thu hồi đất</w:t>
      </w:r>
      <w:r w:rsidR="00B83638">
        <w:t xml:space="preserve"> </w:t>
      </w:r>
      <w:r w:rsidRPr="00A168A9">
        <w:t>khi Nhà nước thu hồi trên địa bàn tỉnh Tây Nin</w:t>
      </w:r>
      <w:bookmarkEnd w:id="0"/>
      <w:r>
        <w:rPr>
          <w:szCs w:val="28"/>
        </w:rPr>
        <w:t>h</w:t>
      </w:r>
    </w:p>
    <w:p w14:paraId="2018FB0C" w14:textId="78194E7F" w:rsidR="002D6D68" w:rsidRPr="00041076" w:rsidRDefault="008A3B76" w:rsidP="00000A5E">
      <w:pPr>
        <w:spacing w:before="60" w:after="60"/>
        <w:jc w:val="center"/>
        <w:rPr>
          <w:b/>
        </w:rPr>
      </w:pPr>
      <w:r w:rsidRPr="00041076">
        <w:rPr>
          <w:noProof/>
          <w:lang w:val="en-GB" w:eastAsia="en-GB"/>
        </w:rPr>
        <mc:AlternateContent>
          <mc:Choice Requires="wps">
            <w:drawing>
              <wp:anchor distT="4294967294" distB="4294967294" distL="114300" distR="114300" simplePos="0" relativeHeight="251657728" behindDoc="0" locked="0" layoutInCell="1" allowOverlap="1" wp14:anchorId="30D22C6E" wp14:editId="7818E64F">
                <wp:simplePos x="0" y="0"/>
                <wp:positionH relativeFrom="column">
                  <wp:posOffset>2457450</wp:posOffset>
                </wp:positionH>
                <wp:positionV relativeFrom="paragraph">
                  <wp:posOffset>45720</wp:posOffset>
                </wp:positionV>
                <wp:extent cx="1028700" cy="0"/>
                <wp:effectExtent l="0" t="0" r="190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E5D8228" id="Line 3"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3.5pt,3.6pt" to="274.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hX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"/>
            </w:pict>
          </mc:Fallback>
        </mc:AlternateContent>
      </w:r>
    </w:p>
    <w:p w14:paraId="7963C755" w14:textId="111B2422" w:rsidR="002D6D68" w:rsidRPr="00041076" w:rsidRDefault="002D6D68" w:rsidP="00000A5E">
      <w:pPr>
        <w:spacing w:before="60" w:after="60"/>
        <w:jc w:val="center"/>
        <w:rPr>
          <w:b/>
        </w:rPr>
      </w:pPr>
      <w:r w:rsidRPr="00041076">
        <w:rPr>
          <w:b/>
        </w:rPr>
        <w:t xml:space="preserve">ỦY BAN NHÂN DÂN TỈNH </w:t>
      </w:r>
      <w:r w:rsidR="00D13E4F" w:rsidRPr="00041076">
        <w:rPr>
          <w:b/>
        </w:rPr>
        <w:t>TÂY NINH</w:t>
      </w:r>
    </w:p>
    <w:p w14:paraId="03E30F21" w14:textId="77777777" w:rsidR="002D6D68" w:rsidRPr="00041076" w:rsidRDefault="002D6D68" w:rsidP="00000A5E">
      <w:pPr>
        <w:spacing w:before="60" w:after="60"/>
        <w:jc w:val="center"/>
        <w:rPr>
          <w:b/>
          <w:sz w:val="26"/>
          <w:szCs w:val="26"/>
        </w:rPr>
      </w:pPr>
    </w:p>
    <w:p w14:paraId="38C81338" w14:textId="77777777" w:rsidR="002D6D68" w:rsidRPr="00041076" w:rsidRDefault="002D6D68" w:rsidP="00A855F0">
      <w:pPr>
        <w:spacing w:after="120"/>
        <w:ind w:firstLine="720"/>
        <w:jc w:val="both"/>
        <w:rPr>
          <w:i/>
          <w:iCs/>
        </w:rPr>
      </w:pPr>
      <w:r w:rsidRPr="00041076">
        <w:rPr>
          <w:i/>
          <w:iCs/>
        </w:rPr>
        <w:t>C</w:t>
      </w:r>
      <w:r w:rsidR="005750E0" w:rsidRPr="00041076">
        <w:rPr>
          <w:i/>
          <w:iCs/>
        </w:rPr>
        <w:t xml:space="preserve">ăn cứ Luật Tổ chức chính quyền địa phương </w:t>
      </w:r>
      <w:r w:rsidR="00D246E2" w:rsidRPr="00041076">
        <w:rPr>
          <w:i/>
          <w:iCs/>
        </w:rPr>
        <w:t>ngày 19</w:t>
      </w:r>
      <w:r w:rsidR="008A480F" w:rsidRPr="00041076">
        <w:rPr>
          <w:i/>
          <w:iCs/>
        </w:rPr>
        <w:t xml:space="preserve"> tháng </w:t>
      </w:r>
      <w:r w:rsidR="00D246E2" w:rsidRPr="00041076">
        <w:rPr>
          <w:i/>
          <w:iCs/>
        </w:rPr>
        <w:t>6</w:t>
      </w:r>
      <w:r w:rsidR="008A480F" w:rsidRPr="00041076">
        <w:rPr>
          <w:i/>
          <w:iCs/>
        </w:rPr>
        <w:t xml:space="preserve"> năm </w:t>
      </w:r>
      <w:r w:rsidR="005750E0" w:rsidRPr="00041076">
        <w:rPr>
          <w:i/>
          <w:iCs/>
        </w:rPr>
        <w:t>2015</w:t>
      </w:r>
      <w:r w:rsidRPr="00041076">
        <w:rPr>
          <w:i/>
          <w:iCs/>
        </w:rPr>
        <w:t>;</w:t>
      </w:r>
    </w:p>
    <w:p w14:paraId="01554435" w14:textId="6631DDBA" w:rsidR="003C06C8" w:rsidRPr="00041076" w:rsidRDefault="003C06C8" w:rsidP="00A855F0">
      <w:pPr>
        <w:spacing w:after="120"/>
        <w:ind w:firstLine="720"/>
        <w:jc w:val="both"/>
        <w:rPr>
          <w:i/>
          <w:iCs/>
        </w:rPr>
      </w:pPr>
      <w:r w:rsidRPr="00041076">
        <w:rPr>
          <w:i/>
          <w:iCs/>
        </w:rPr>
        <w:t>Căn cứ Luật Ngân sách Nhà nước ngày 25 tháng 6 năm 2015;</w:t>
      </w:r>
    </w:p>
    <w:p w14:paraId="63B583FF" w14:textId="77777777" w:rsidR="00E03A6B" w:rsidRPr="00041076" w:rsidRDefault="00E03A6B" w:rsidP="00A855F0">
      <w:pPr>
        <w:spacing w:after="120"/>
        <w:ind w:firstLine="720"/>
        <w:jc w:val="both"/>
        <w:rPr>
          <w:i/>
          <w:iCs/>
        </w:rPr>
      </w:pPr>
      <w:r w:rsidRPr="00041076">
        <w:rPr>
          <w:i/>
        </w:rPr>
        <w:t>Căn cứ Luật sửa đổi, bổ sung một số điều của Luật Tổ chức Chính phủ và Luật Tổ chức chính quyền địa phương ngày 22 tháng 11 năm 2019;</w:t>
      </w:r>
    </w:p>
    <w:p w14:paraId="325C08F0" w14:textId="4BCB78BA" w:rsidR="00A855F0" w:rsidRDefault="00332405" w:rsidP="00A855F0">
      <w:pPr>
        <w:pStyle w:val="BodyTextIndent2"/>
        <w:spacing w:after="120"/>
        <w:rPr>
          <w:i/>
          <w:iCs/>
          <w:szCs w:val="28"/>
        </w:rPr>
      </w:pPr>
      <w:r w:rsidRPr="001D2FF5">
        <w:rPr>
          <w:i/>
          <w:szCs w:val="28"/>
        </w:rPr>
        <w:t>Căn cứ Thông tư số 61/2022/TT-BTC ngày 05/10/2022 của Bộ Tài chính về việc hướng dẫn lập dự toán, sử dụng và thanh, quyết toán kinh phí tổ chức thực hiện bồi thường, hỗ trợ, tái định cư khi Nhà nước thu hồi đất</w:t>
      </w:r>
      <w:r w:rsidRPr="003C488D">
        <w:rPr>
          <w:i/>
          <w:iCs/>
          <w:szCs w:val="28"/>
        </w:rPr>
        <w:t>;</w:t>
      </w:r>
    </w:p>
    <w:p w14:paraId="57E34AD1" w14:textId="692D4A3F" w:rsidR="00332405" w:rsidRPr="00041076" w:rsidRDefault="00332405" w:rsidP="00A855F0">
      <w:pPr>
        <w:pStyle w:val="BodyTextIndent2"/>
        <w:spacing w:after="120"/>
        <w:rPr>
          <w:i/>
          <w:iCs/>
          <w:szCs w:val="28"/>
        </w:rPr>
      </w:pPr>
      <w:r>
        <w:rPr>
          <w:i/>
          <w:iCs/>
          <w:szCs w:val="28"/>
        </w:rPr>
        <w:t>Căn cứ Nghị quyết số …/2023/NQ-HĐND ngày … tháng … năm 2023 của Hội đồng nhân dân tỉnh</w:t>
      </w:r>
      <w:r w:rsidR="00D13775">
        <w:rPr>
          <w:i/>
          <w:iCs/>
          <w:szCs w:val="28"/>
        </w:rPr>
        <w:t xml:space="preserve"> quy định</w:t>
      </w:r>
      <w:r>
        <w:rPr>
          <w:i/>
          <w:iCs/>
          <w:szCs w:val="28"/>
        </w:rPr>
        <w:t xml:space="preserve"> </w:t>
      </w:r>
      <w:r w:rsidR="00D13775" w:rsidRPr="00D13775">
        <w:rPr>
          <w:i/>
          <w:iCs/>
          <w:color w:val="000000"/>
          <w:lang w:val="nl-NL"/>
        </w:rPr>
        <w:t>mức chi tổ chức thực hiện bồi thường, hỗ trợ, tái định cư và cưỡng chế kiểm đếm, cưỡng chế thu hồi đất khi Nhà nước thu hồi đất trên địa bàn tỉnh Tây Ninh</w:t>
      </w:r>
      <w:r w:rsidR="00D13775">
        <w:rPr>
          <w:i/>
          <w:iCs/>
          <w:color w:val="000000"/>
          <w:lang w:val="nl-NL"/>
        </w:rPr>
        <w:t>;</w:t>
      </w:r>
    </w:p>
    <w:p w14:paraId="1C69BFCF" w14:textId="4060C3D1" w:rsidR="002D6D68" w:rsidRPr="00041076" w:rsidRDefault="008658B5" w:rsidP="00A855F0">
      <w:pPr>
        <w:spacing w:after="120"/>
        <w:ind w:firstLine="720"/>
        <w:jc w:val="both"/>
        <w:rPr>
          <w:i/>
          <w:iCs/>
          <w:sz w:val="26"/>
          <w:szCs w:val="26"/>
        </w:rPr>
      </w:pPr>
      <w:r w:rsidRPr="00041076">
        <w:rPr>
          <w:i/>
          <w:iCs/>
        </w:rPr>
        <w:t>Theo</w:t>
      </w:r>
      <w:r w:rsidR="002D6D68" w:rsidRPr="00041076">
        <w:rPr>
          <w:i/>
          <w:iCs/>
        </w:rPr>
        <w:t xml:space="preserve"> đề nghị của Giám đố</w:t>
      </w:r>
      <w:r w:rsidR="00D246E2" w:rsidRPr="00041076">
        <w:rPr>
          <w:i/>
          <w:iCs/>
        </w:rPr>
        <w:t xml:space="preserve">c Sở Tài chính tại </w:t>
      </w:r>
      <w:r w:rsidR="00A855F0" w:rsidRPr="00041076">
        <w:rPr>
          <w:i/>
          <w:iCs/>
        </w:rPr>
        <w:t>Tờ trình</w:t>
      </w:r>
      <w:r w:rsidR="0085568D" w:rsidRPr="00041076">
        <w:rPr>
          <w:i/>
          <w:iCs/>
        </w:rPr>
        <w:t xml:space="preserve"> số </w:t>
      </w:r>
      <w:r w:rsidR="00D13775">
        <w:rPr>
          <w:i/>
          <w:iCs/>
        </w:rPr>
        <w:t>……</w:t>
      </w:r>
      <w:r w:rsidR="002D6D68" w:rsidRPr="00041076">
        <w:rPr>
          <w:i/>
          <w:iCs/>
        </w:rPr>
        <w:t>/</w:t>
      </w:r>
      <w:r w:rsidR="00A855F0" w:rsidRPr="00041076">
        <w:rPr>
          <w:i/>
          <w:iCs/>
        </w:rPr>
        <w:t>TTr-</w:t>
      </w:r>
      <w:r w:rsidR="002D6D68" w:rsidRPr="00041076">
        <w:rPr>
          <w:i/>
          <w:iCs/>
        </w:rPr>
        <w:t>S</w:t>
      </w:r>
      <w:r w:rsidR="00614DF9" w:rsidRPr="00041076">
        <w:rPr>
          <w:i/>
          <w:iCs/>
        </w:rPr>
        <w:t>TC</w:t>
      </w:r>
      <w:r w:rsidR="002D6D68" w:rsidRPr="00041076">
        <w:rPr>
          <w:i/>
          <w:iCs/>
        </w:rPr>
        <w:t xml:space="preserve"> ngày</w:t>
      </w:r>
      <w:r w:rsidR="00A855F0" w:rsidRPr="00041076">
        <w:rPr>
          <w:i/>
          <w:iCs/>
        </w:rPr>
        <w:t xml:space="preserve"> …</w:t>
      </w:r>
      <w:r w:rsidR="00A74F84" w:rsidRPr="00041076">
        <w:rPr>
          <w:i/>
          <w:iCs/>
        </w:rPr>
        <w:t>/</w:t>
      </w:r>
      <w:r w:rsidR="00A855F0" w:rsidRPr="00041076">
        <w:rPr>
          <w:i/>
          <w:iCs/>
        </w:rPr>
        <w:t>…</w:t>
      </w:r>
      <w:r w:rsidR="005750E0" w:rsidRPr="00041076">
        <w:rPr>
          <w:i/>
          <w:iCs/>
        </w:rPr>
        <w:t>/20</w:t>
      </w:r>
      <w:r w:rsidR="00CB7CC0" w:rsidRPr="00041076">
        <w:rPr>
          <w:i/>
          <w:iCs/>
        </w:rPr>
        <w:t>2</w:t>
      </w:r>
      <w:r w:rsidR="00A855F0" w:rsidRPr="00041076">
        <w:rPr>
          <w:i/>
          <w:iCs/>
        </w:rPr>
        <w:t>3</w:t>
      </w:r>
      <w:r w:rsidR="009A1FFA" w:rsidRPr="00041076">
        <w:rPr>
          <w:i/>
          <w:iCs/>
        </w:rPr>
        <w:t>.</w:t>
      </w:r>
    </w:p>
    <w:p w14:paraId="1FF024E5" w14:textId="77777777" w:rsidR="002D6D68" w:rsidRPr="00041076" w:rsidRDefault="002D6D68" w:rsidP="00A855F0">
      <w:pPr>
        <w:pStyle w:val="Heading1"/>
        <w:spacing w:before="120" w:after="240"/>
        <w:rPr>
          <w:sz w:val="26"/>
          <w:szCs w:val="26"/>
        </w:rPr>
      </w:pPr>
      <w:r w:rsidRPr="00041076">
        <w:rPr>
          <w:sz w:val="26"/>
          <w:szCs w:val="26"/>
        </w:rPr>
        <w:t>QUYẾT ĐỊNH:</w:t>
      </w:r>
    </w:p>
    <w:p w14:paraId="2818673B" w14:textId="0992C9ED" w:rsidR="00722D38" w:rsidRDefault="00332405" w:rsidP="00332405">
      <w:pPr>
        <w:pStyle w:val="NormalWeb"/>
        <w:widowControl w:val="0"/>
        <w:shd w:val="clear" w:color="auto" w:fill="FFFFFF"/>
        <w:spacing w:before="0" w:beforeAutospacing="0" w:after="120" w:afterAutospacing="0"/>
        <w:ind w:firstLine="709"/>
        <w:jc w:val="both"/>
        <w:textAlignment w:val="baseline"/>
        <w:rPr>
          <w:sz w:val="28"/>
          <w:szCs w:val="28"/>
          <w:bdr w:val="none" w:sz="0" w:space="0" w:color="auto" w:frame="1"/>
          <w:lang w:val="nl-NL"/>
        </w:rPr>
      </w:pPr>
      <w:r>
        <w:rPr>
          <w:b/>
          <w:bCs/>
          <w:sz w:val="28"/>
          <w:szCs w:val="28"/>
          <w:bdr w:val="none" w:sz="0" w:space="0" w:color="auto" w:frame="1"/>
          <w:lang w:val="nl-NL"/>
        </w:rPr>
        <w:t xml:space="preserve">Điều </w:t>
      </w:r>
      <w:r w:rsidR="00AA34DE">
        <w:rPr>
          <w:b/>
          <w:bCs/>
          <w:sz w:val="28"/>
          <w:szCs w:val="28"/>
          <w:bdr w:val="none" w:sz="0" w:space="0" w:color="auto" w:frame="1"/>
          <w:lang w:val="nl-NL"/>
        </w:rPr>
        <w:t>1.</w:t>
      </w:r>
      <w:r w:rsidRPr="00A63A7C">
        <w:rPr>
          <w:sz w:val="28"/>
          <w:szCs w:val="28"/>
          <w:bdr w:val="none" w:sz="0" w:space="0" w:color="auto" w:frame="1"/>
          <w:lang w:val="nl-NL"/>
        </w:rPr>
        <w:t xml:space="preserve"> </w:t>
      </w:r>
      <w:r w:rsidR="00722D38" w:rsidRPr="002C75D6">
        <w:rPr>
          <w:b/>
          <w:bCs/>
          <w:sz w:val="28"/>
          <w:szCs w:val="28"/>
          <w:bdr w:val="none" w:sz="0" w:space="0" w:color="auto" w:frame="1"/>
          <w:lang w:val="nl-NL"/>
        </w:rPr>
        <w:t xml:space="preserve">Mức trích bảo đảm cho tổ chức thực hiện bồi thường, hỗ trợ, tái định cư và cưỡng chế kiểm đếm, cưỡng chế thu hồi đất khi Nhà nước thu hồi đất </w:t>
      </w:r>
    </w:p>
    <w:p w14:paraId="49B9571D" w14:textId="2510B7E0" w:rsidR="00722D38" w:rsidRDefault="001244B6" w:rsidP="00332405">
      <w:pPr>
        <w:pStyle w:val="NormalWeb"/>
        <w:widowControl w:val="0"/>
        <w:shd w:val="clear" w:color="auto" w:fill="FFFFFF"/>
        <w:spacing w:before="0" w:beforeAutospacing="0" w:after="120" w:afterAutospacing="0"/>
        <w:ind w:firstLine="709"/>
        <w:jc w:val="both"/>
        <w:textAlignment w:val="baseline"/>
        <w:rPr>
          <w:sz w:val="28"/>
          <w:szCs w:val="28"/>
          <w:bdr w:val="none" w:sz="0" w:space="0" w:color="auto" w:frame="1"/>
          <w:lang w:val="nl-NL"/>
        </w:rPr>
      </w:pPr>
      <w:r>
        <w:rPr>
          <w:sz w:val="28"/>
          <w:szCs w:val="28"/>
          <w:bdr w:val="none" w:sz="0" w:space="0" w:color="auto" w:frame="1"/>
          <w:lang w:val="nl-NL"/>
        </w:rPr>
        <w:t>1. M</w:t>
      </w:r>
      <w:r w:rsidRPr="00A63A7C">
        <w:rPr>
          <w:sz w:val="28"/>
          <w:szCs w:val="28"/>
          <w:bdr w:val="none" w:sz="0" w:space="0" w:color="auto" w:frame="1"/>
          <w:lang w:val="nl-NL"/>
        </w:rPr>
        <w:t>ức trích</w:t>
      </w:r>
      <w:r>
        <w:rPr>
          <w:sz w:val="28"/>
          <w:szCs w:val="28"/>
          <w:bdr w:val="none" w:sz="0" w:space="0" w:color="auto" w:frame="1"/>
          <w:lang w:val="nl-NL"/>
        </w:rPr>
        <w:t xml:space="preserve"> bảo đảm cho </w:t>
      </w:r>
      <w:r w:rsidRPr="00A63A7C">
        <w:rPr>
          <w:sz w:val="28"/>
          <w:szCs w:val="28"/>
          <w:bdr w:val="none" w:sz="0" w:space="0" w:color="auto" w:frame="1"/>
          <w:lang w:val="nl-NL"/>
        </w:rPr>
        <w:t>tổ chức thực hiện bồi thường, hỗ trợ, tái định cư và cưỡng chế kiểm đếm, cưỡng chế thu hồi đất khi Nhà nước thu hồi đất trên địa bàn tỉnh Tây Ninh</w:t>
      </w:r>
      <w:r>
        <w:rPr>
          <w:sz w:val="28"/>
          <w:szCs w:val="28"/>
          <w:bdr w:val="none" w:sz="0" w:space="0" w:color="auto" w:frame="1"/>
          <w:lang w:val="nl-NL"/>
        </w:rPr>
        <w:t xml:space="preserve"> thực hiện theo Điều 3 Thông tư số </w:t>
      </w:r>
      <w:r w:rsidRPr="001244B6">
        <w:rPr>
          <w:sz w:val="28"/>
          <w:szCs w:val="28"/>
          <w:bdr w:val="none" w:sz="0" w:space="0" w:color="auto" w:frame="1"/>
          <w:lang w:val="nl-NL"/>
        </w:rPr>
        <w:t>61/2022/TT-BTC ngày 05/10/2022 của Bộ Tài chính về việc hướng dẫn lập dự toán, sử dụng và thanh, quyết toán kinh phí tổ chức thực hiện bồi thường, hỗ trợ, tái định cư khi Nhà nước thu hồi đất</w:t>
      </w:r>
      <w:r>
        <w:rPr>
          <w:sz w:val="28"/>
          <w:szCs w:val="28"/>
          <w:bdr w:val="none" w:sz="0" w:space="0" w:color="auto" w:frame="1"/>
          <w:lang w:val="nl-NL"/>
        </w:rPr>
        <w:t xml:space="preserve"> (Thông tư số 61/2022/TT-BTC).</w:t>
      </w:r>
    </w:p>
    <w:p w14:paraId="0D6ACDB7" w14:textId="426B8213" w:rsidR="001244B6" w:rsidRDefault="001244B6" w:rsidP="00332405">
      <w:pPr>
        <w:pStyle w:val="NormalWeb"/>
        <w:widowControl w:val="0"/>
        <w:shd w:val="clear" w:color="auto" w:fill="FFFFFF"/>
        <w:spacing w:before="0" w:beforeAutospacing="0" w:after="120" w:afterAutospacing="0"/>
        <w:ind w:firstLine="709"/>
        <w:jc w:val="both"/>
        <w:textAlignment w:val="baseline"/>
        <w:rPr>
          <w:sz w:val="28"/>
          <w:szCs w:val="28"/>
          <w:bdr w:val="none" w:sz="0" w:space="0" w:color="auto" w:frame="1"/>
          <w:lang w:val="nl-NL"/>
        </w:rPr>
      </w:pPr>
      <w:r>
        <w:rPr>
          <w:sz w:val="28"/>
          <w:szCs w:val="28"/>
          <w:bdr w:val="none" w:sz="0" w:space="0" w:color="auto" w:frame="1"/>
          <w:lang w:val="nl-NL"/>
        </w:rPr>
        <w:t>2. Quy định mức trích tối thiểu đ</w:t>
      </w:r>
      <w:r w:rsidRPr="00FC0630">
        <w:rPr>
          <w:sz w:val="28"/>
          <w:szCs w:val="28"/>
          <w:bdr w:val="none" w:sz="0" w:space="0" w:color="auto" w:frame="1"/>
          <w:lang w:val="nl-NL"/>
        </w:rPr>
        <w:t xml:space="preserve">ối với các dự án, tiểu dự án không thuộc trường hợp quy định tại điểm a </w:t>
      </w:r>
      <w:r>
        <w:rPr>
          <w:sz w:val="28"/>
          <w:szCs w:val="28"/>
          <w:bdr w:val="none" w:sz="0" w:space="0" w:color="auto" w:frame="1"/>
          <w:lang w:val="nl-NL"/>
        </w:rPr>
        <w:t>khoản 1 Điều 3</w:t>
      </w:r>
      <w:r w:rsidRPr="00FC0630">
        <w:rPr>
          <w:sz w:val="28"/>
          <w:szCs w:val="28"/>
          <w:bdr w:val="none" w:sz="0" w:space="0" w:color="auto" w:frame="1"/>
          <w:lang w:val="nl-NL"/>
        </w:rPr>
        <w:t xml:space="preserve"> </w:t>
      </w:r>
      <w:r>
        <w:rPr>
          <w:sz w:val="28"/>
          <w:szCs w:val="28"/>
          <w:bdr w:val="none" w:sz="0" w:space="0" w:color="auto" w:frame="1"/>
          <w:lang w:val="nl-NL"/>
        </w:rPr>
        <w:t>Thông tư số 61/2022/TT-BTC</w:t>
      </w:r>
      <w:r w:rsidRPr="00FC0630">
        <w:rPr>
          <w:sz w:val="28"/>
          <w:szCs w:val="28"/>
          <w:bdr w:val="none" w:sz="0" w:space="0" w:color="auto" w:frame="1"/>
          <w:lang w:val="nl-NL"/>
        </w:rPr>
        <w:t xml:space="preserve"> mà không phải thực hiện cưỡng chế kiểm đếm theo quyết định của cơ quan nhà nước </w:t>
      </w:r>
      <w:r w:rsidRPr="00FC0630">
        <w:rPr>
          <w:sz w:val="28"/>
          <w:szCs w:val="28"/>
          <w:bdr w:val="none" w:sz="0" w:space="0" w:color="auto" w:frame="1"/>
          <w:lang w:val="nl-NL"/>
        </w:rPr>
        <w:lastRenderedPageBreak/>
        <w:t xml:space="preserve">có thẩm quyền </w:t>
      </w:r>
      <w:r w:rsidRPr="00A63A7C">
        <w:rPr>
          <w:sz w:val="28"/>
          <w:szCs w:val="28"/>
          <w:bdr w:val="none" w:sz="0" w:space="0" w:color="auto" w:frame="1"/>
          <w:lang w:val="nl-NL"/>
        </w:rPr>
        <w:t xml:space="preserve">là </w:t>
      </w:r>
      <w:r w:rsidRPr="001244B6">
        <w:rPr>
          <w:bCs/>
          <w:iCs/>
          <w:sz w:val="28"/>
          <w:szCs w:val="28"/>
          <w:bdr w:val="none" w:sz="0" w:space="0" w:color="auto" w:frame="1"/>
          <w:lang w:val="nl-NL"/>
        </w:rPr>
        <w:t>30.000.000 đồng/phương án</w:t>
      </w:r>
      <w:r w:rsidRPr="00A63A7C">
        <w:rPr>
          <w:sz w:val="28"/>
          <w:szCs w:val="28"/>
          <w:bdr w:val="none" w:sz="0" w:space="0" w:color="auto" w:frame="1"/>
          <w:lang w:val="nl-NL"/>
        </w:rPr>
        <w:t>.</w:t>
      </w:r>
    </w:p>
    <w:p w14:paraId="1F651A11" w14:textId="403698DA" w:rsidR="00332405" w:rsidRPr="00A63A7C" w:rsidRDefault="00722D38" w:rsidP="00332405">
      <w:pPr>
        <w:pStyle w:val="NormalWeb"/>
        <w:widowControl w:val="0"/>
        <w:shd w:val="clear" w:color="auto" w:fill="FFFFFF"/>
        <w:spacing w:before="0" w:beforeAutospacing="0" w:after="120" w:afterAutospacing="0"/>
        <w:ind w:firstLine="709"/>
        <w:jc w:val="both"/>
        <w:textAlignment w:val="baseline"/>
        <w:rPr>
          <w:sz w:val="28"/>
          <w:szCs w:val="28"/>
          <w:bdr w:val="none" w:sz="0" w:space="0" w:color="auto" w:frame="1"/>
          <w:lang w:val="nl-NL"/>
        </w:rPr>
      </w:pPr>
      <w:r>
        <w:rPr>
          <w:b/>
          <w:bCs/>
          <w:sz w:val="28"/>
          <w:szCs w:val="28"/>
          <w:bdr w:val="none" w:sz="0" w:space="0" w:color="auto" w:frame="1"/>
          <w:lang w:val="nl-NL"/>
        </w:rPr>
        <w:t xml:space="preserve">Điều </w:t>
      </w:r>
      <w:r w:rsidR="001244B6">
        <w:rPr>
          <w:b/>
          <w:bCs/>
          <w:sz w:val="28"/>
          <w:szCs w:val="28"/>
          <w:bdr w:val="none" w:sz="0" w:space="0" w:color="auto" w:frame="1"/>
          <w:lang w:val="nl-NL"/>
        </w:rPr>
        <w:t>2</w:t>
      </w:r>
      <w:r>
        <w:rPr>
          <w:b/>
          <w:bCs/>
          <w:sz w:val="28"/>
          <w:szCs w:val="28"/>
          <w:bdr w:val="none" w:sz="0" w:space="0" w:color="auto" w:frame="1"/>
          <w:lang w:val="nl-NL"/>
        </w:rPr>
        <w:t>.</w:t>
      </w:r>
      <w:r w:rsidRPr="00A63A7C">
        <w:rPr>
          <w:sz w:val="28"/>
          <w:szCs w:val="28"/>
          <w:bdr w:val="none" w:sz="0" w:space="0" w:color="auto" w:frame="1"/>
          <w:lang w:val="nl-NL"/>
        </w:rPr>
        <w:t xml:space="preserve"> </w:t>
      </w:r>
      <w:r w:rsidR="00332405" w:rsidRPr="002C75D6">
        <w:rPr>
          <w:b/>
          <w:bCs/>
          <w:sz w:val="28"/>
          <w:szCs w:val="28"/>
          <w:bdr w:val="none" w:sz="0" w:space="0" w:color="auto" w:frame="1"/>
          <w:lang w:val="nl-NL"/>
        </w:rPr>
        <w:t xml:space="preserve">Tỷ lệ phân chia kinh phí sử dụng cho hoạt động </w:t>
      </w:r>
      <w:r w:rsidR="002C75D6" w:rsidRPr="002C75D6">
        <w:rPr>
          <w:b/>
          <w:bCs/>
          <w:sz w:val="28"/>
          <w:szCs w:val="28"/>
          <w:bdr w:val="none" w:sz="0" w:space="0" w:color="auto" w:frame="1"/>
          <w:lang w:val="nl-NL"/>
        </w:rPr>
        <w:t>bồi thường, hỗ trợ, tái định cư và cưỡng chế kiểm đếm, cưỡng chế thu hồi đất khi Nhà nước thu hồi đất</w:t>
      </w:r>
      <w:r w:rsidR="00332405" w:rsidRPr="00A63A7C">
        <w:rPr>
          <w:sz w:val="28"/>
          <w:szCs w:val="28"/>
          <w:bdr w:val="none" w:sz="0" w:space="0" w:color="auto" w:frame="1"/>
          <w:lang w:val="nl-NL"/>
        </w:rPr>
        <w:t xml:space="preserve"> </w:t>
      </w:r>
    </w:p>
    <w:p w14:paraId="04A5C390" w14:textId="08705894" w:rsidR="00332405" w:rsidRPr="00A63A7C" w:rsidRDefault="00332405" w:rsidP="00332405">
      <w:pPr>
        <w:pStyle w:val="NormalWeb"/>
        <w:widowControl w:val="0"/>
        <w:shd w:val="clear" w:color="auto" w:fill="FFFFFF"/>
        <w:spacing w:before="0" w:beforeAutospacing="0" w:after="120" w:afterAutospacing="0"/>
        <w:ind w:firstLine="709"/>
        <w:jc w:val="both"/>
        <w:textAlignment w:val="baseline"/>
        <w:rPr>
          <w:sz w:val="28"/>
          <w:szCs w:val="28"/>
          <w:bdr w:val="none" w:sz="0" w:space="0" w:color="auto" w:frame="1"/>
          <w:lang w:val="nl-NL"/>
        </w:rPr>
      </w:pPr>
      <w:r w:rsidRPr="00A63A7C">
        <w:rPr>
          <w:sz w:val="28"/>
          <w:szCs w:val="28"/>
          <w:bdr w:val="none" w:sz="0" w:space="0" w:color="auto" w:frame="1"/>
          <w:lang w:val="nl-NL"/>
        </w:rPr>
        <w:t xml:space="preserve">Số kinh phí được trích lại tại </w:t>
      </w:r>
      <w:r w:rsidR="002C75D6">
        <w:rPr>
          <w:sz w:val="28"/>
          <w:szCs w:val="28"/>
          <w:bdr w:val="none" w:sz="0" w:space="0" w:color="auto" w:frame="1"/>
          <w:lang w:val="nl-NL"/>
        </w:rPr>
        <w:t>Điều</w:t>
      </w:r>
      <w:r w:rsidRPr="00A63A7C">
        <w:rPr>
          <w:sz w:val="28"/>
          <w:szCs w:val="28"/>
          <w:bdr w:val="none" w:sz="0" w:space="0" w:color="auto" w:frame="1"/>
          <w:lang w:val="nl-NL"/>
        </w:rPr>
        <w:t xml:space="preserve"> 1</w:t>
      </w:r>
      <w:r w:rsidR="002C75D6">
        <w:rPr>
          <w:sz w:val="28"/>
          <w:szCs w:val="28"/>
          <w:bdr w:val="none" w:sz="0" w:space="0" w:color="auto" w:frame="1"/>
          <w:lang w:val="nl-NL"/>
        </w:rPr>
        <w:t xml:space="preserve"> Quyết</w:t>
      </w:r>
      <w:r>
        <w:rPr>
          <w:sz w:val="28"/>
          <w:szCs w:val="28"/>
          <w:bdr w:val="none" w:sz="0" w:space="0" w:color="auto" w:frame="1"/>
          <w:lang w:val="nl-NL"/>
        </w:rPr>
        <w:t xml:space="preserve"> định</w:t>
      </w:r>
      <w:r w:rsidRPr="00A63A7C">
        <w:rPr>
          <w:sz w:val="28"/>
          <w:szCs w:val="28"/>
          <w:bdr w:val="none" w:sz="0" w:space="0" w:color="auto" w:frame="1"/>
          <w:lang w:val="nl-NL"/>
        </w:rPr>
        <w:t xml:space="preserve"> này được quy thành 100% và phân chia tỷ lệ sử dụng như sau:</w:t>
      </w:r>
    </w:p>
    <w:p w14:paraId="664C266E" w14:textId="77777777" w:rsidR="00332405" w:rsidRPr="00A63A7C" w:rsidRDefault="00332405" w:rsidP="00332405">
      <w:pPr>
        <w:pStyle w:val="NormalWeb"/>
        <w:widowControl w:val="0"/>
        <w:shd w:val="clear" w:color="auto" w:fill="FFFFFF"/>
        <w:spacing w:before="0" w:beforeAutospacing="0" w:after="120" w:afterAutospacing="0"/>
        <w:ind w:firstLine="709"/>
        <w:jc w:val="both"/>
        <w:textAlignment w:val="baseline"/>
        <w:rPr>
          <w:sz w:val="28"/>
          <w:szCs w:val="28"/>
          <w:bdr w:val="none" w:sz="0" w:space="0" w:color="auto" w:frame="1"/>
          <w:lang w:val="nl-NL"/>
        </w:rPr>
      </w:pPr>
      <w:r w:rsidRPr="00A63A7C">
        <w:rPr>
          <w:sz w:val="28"/>
          <w:szCs w:val="28"/>
          <w:bdr w:val="none" w:sz="0" w:space="0" w:color="auto" w:frame="1"/>
          <w:lang w:val="nl-NL"/>
        </w:rPr>
        <w:t xml:space="preserve">1. Cơ quan thẩm định phương án bồi thường, hỗ trợ, tái định cư được hưởng 5% để phục vụ công tác thẩm định và trình duyệt phương án bồi thường, hỗ trợ và tái định cư. Mức trích tối đa 20.000.000 đồng/phương án và mức trích tối thiểu </w:t>
      </w:r>
      <w:r>
        <w:rPr>
          <w:sz w:val="28"/>
          <w:szCs w:val="28"/>
          <w:bdr w:val="none" w:sz="0" w:space="0" w:color="auto" w:frame="1"/>
          <w:lang w:val="nl-NL"/>
        </w:rPr>
        <w:t>2.000</w:t>
      </w:r>
      <w:r w:rsidRPr="00A63A7C">
        <w:rPr>
          <w:sz w:val="28"/>
          <w:szCs w:val="28"/>
          <w:bdr w:val="none" w:sz="0" w:space="0" w:color="auto" w:frame="1"/>
          <w:lang w:val="nl-NL"/>
        </w:rPr>
        <w:t>.000 đồng/phương án. Trong đó:</w:t>
      </w:r>
    </w:p>
    <w:p w14:paraId="126B2FDE" w14:textId="77777777" w:rsidR="00332405" w:rsidRPr="00A63A7C" w:rsidRDefault="00332405" w:rsidP="00332405">
      <w:pPr>
        <w:pStyle w:val="NormalWeb"/>
        <w:widowControl w:val="0"/>
        <w:shd w:val="clear" w:color="auto" w:fill="FFFFFF"/>
        <w:spacing w:before="0" w:beforeAutospacing="0" w:after="120" w:afterAutospacing="0"/>
        <w:ind w:firstLine="709"/>
        <w:jc w:val="both"/>
        <w:textAlignment w:val="baseline"/>
        <w:rPr>
          <w:sz w:val="28"/>
          <w:szCs w:val="28"/>
          <w:bdr w:val="none" w:sz="0" w:space="0" w:color="auto" w:frame="1"/>
          <w:lang w:val="nl-NL"/>
        </w:rPr>
      </w:pPr>
      <w:r w:rsidRPr="00A63A7C">
        <w:rPr>
          <w:sz w:val="28"/>
          <w:szCs w:val="28"/>
          <w:bdr w:val="none" w:sz="0" w:space="0" w:color="auto" w:frame="1"/>
          <w:lang w:val="nl-NL"/>
        </w:rPr>
        <w:t>a) Trường hợp cơ quan thẩm định phương án (Sở Tài nguyên và Môi trường hoặc Phòng Tài nguyên và Môi trường) mà phương án không có bồi thường, hỗ trợ về đất thì cơ quan thẩm định hưởng 100% kinh phí được trích;</w:t>
      </w:r>
    </w:p>
    <w:p w14:paraId="35180C53" w14:textId="77777777" w:rsidR="00332405" w:rsidRPr="00A63A7C" w:rsidRDefault="00332405" w:rsidP="00332405">
      <w:pPr>
        <w:pStyle w:val="NormalWeb"/>
        <w:widowControl w:val="0"/>
        <w:shd w:val="clear" w:color="auto" w:fill="FFFFFF"/>
        <w:spacing w:before="0" w:beforeAutospacing="0" w:after="120" w:afterAutospacing="0"/>
        <w:ind w:firstLine="709"/>
        <w:jc w:val="both"/>
        <w:textAlignment w:val="baseline"/>
        <w:rPr>
          <w:sz w:val="28"/>
          <w:szCs w:val="28"/>
          <w:bdr w:val="none" w:sz="0" w:space="0" w:color="auto" w:frame="1"/>
          <w:lang w:val="nl-NL"/>
        </w:rPr>
      </w:pPr>
      <w:r w:rsidRPr="00A63A7C">
        <w:rPr>
          <w:sz w:val="28"/>
          <w:szCs w:val="28"/>
          <w:bdr w:val="none" w:sz="0" w:space="0" w:color="auto" w:frame="1"/>
          <w:lang w:val="nl-NL"/>
        </w:rPr>
        <w:t xml:space="preserve">b) </w:t>
      </w:r>
      <w:r w:rsidRPr="00421698">
        <w:rPr>
          <w:sz w:val="28"/>
          <w:szCs w:val="28"/>
          <w:bdr w:val="none" w:sz="0" w:space="0" w:color="auto" w:frame="1"/>
          <w:lang w:val="nl-NL"/>
        </w:rPr>
        <w:t>Trường hợp phương án có bồi thường, hỗ trợ về đất phải trình Hội đồng thẩm định giá đất tỉnh, thì Sở Tài nguyên và Môi trường hưởng 75%, Hội đồng thẩm định giá đất tỉnh hưởng 25% kinh</w:t>
      </w:r>
      <w:r w:rsidRPr="00A63A7C">
        <w:rPr>
          <w:sz w:val="28"/>
          <w:szCs w:val="28"/>
          <w:bdr w:val="none" w:sz="0" w:space="0" w:color="auto" w:frame="1"/>
          <w:lang w:val="nl-NL"/>
        </w:rPr>
        <w:t xml:space="preserve"> phí được trích;</w:t>
      </w:r>
    </w:p>
    <w:p w14:paraId="769D9A3A" w14:textId="77777777" w:rsidR="00332405" w:rsidRPr="00A63A7C" w:rsidRDefault="00332405" w:rsidP="00332405">
      <w:pPr>
        <w:pStyle w:val="NormalWeb"/>
        <w:widowControl w:val="0"/>
        <w:shd w:val="clear" w:color="auto" w:fill="FFFFFF"/>
        <w:spacing w:before="0" w:beforeAutospacing="0" w:after="120" w:afterAutospacing="0"/>
        <w:ind w:firstLine="709"/>
        <w:jc w:val="both"/>
        <w:textAlignment w:val="baseline"/>
        <w:rPr>
          <w:sz w:val="28"/>
          <w:szCs w:val="28"/>
          <w:bdr w:val="none" w:sz="0" w:space="0" w:color="auto" w:frame="1"/>
          <w:lang w:val="nl-NL"/>
        </w:rPr>
      </w:pPr>
      <w:r w:rsidRPr="00A63A7C">
        <w:rPr>
          <w:sz w:val="28"/>
          <w:szCs w:val="28"/>
          <w:bdr w:val="none" w:sz="0" w:space="0" w:color="auto" w:frame="1"/>
          <w:lang w:val="nl-NL"/>
        </w:rPr>
        <w:t xml:space="preserve">c) Trường hợp Phòng Tài nguyên và Môi trường thẩm định phương án, Sở Tài nguyên và Môi trường thẩm định giá bồi thường thì phân chia như sau: Phòng Tài nguyên và Môi trường hưởng 50%; Sở Tài nguyên và Môi trường hưởng 50% nếu phương án không có bồi thường, hỗ trợ về đất. Nếu phương án có bồi thường, hỗ trợ về đất phải trình Hội đồng thẩm định giá đất tỉnh, thì Sở Tài nguyên và Môi trường hưởng </w:t>
      </w:r>
      <w:r>
        <w:rPr>
          <w:sz w:val="28"/>
          <w:szCs w:val="28"/>
          <w:bdr w:val="none" w:sz="0" w:space="0" w:color="auto" w:frame="1"/>
          <w:lang w:val="nl-NL"/>
        </w:rPr>
        <w:t>2</w:t>
      </w:r>
      <w:r w:rsidRPr="00A63A7C">
        <w:rPr>
          <w:sz w:val="28"/>
          <w:szCs w:val="28"/>
          <w:bdr w:val="none" w:sz="0" w:space="0" w:color="auto" w:frame="1"/>
          <w:lang w:val="nl-NL"/>
        </w:rPr>
        <w:t>5%, Hội đồng thẩm định giá đất tỉnh hưởng 15% kinh phí được trích</w:t>
      </w:r>
      <w:r>
        <w:rPr>
          <w:sz w:val="28"/>
          <w:szCs w:val="28"/>
          <w:bdr w:val="none" w:sz="0" w:space="0" w:color="auto" w:frame="1"/>
          <w:lang w:val="nl-NL"/>
        </w:rPr>
        <w:t xml:space="preserve">, </w:t>
      </w:r>
      <w:r w:rsidRPr="00EC70AF">
        <w:rPr>
          <w:bCs/>
          <w:iCs/>
          <w:sz w:val="28"/>
          <w:szCs w:val="28"/>
          <w:bdr w:val="none" w:sz="0" w:space="0" w:color="auto" w:frame="1"/>
          <w:lang w:val="nl-NL"/>
        </w:rPr>
        <w:t>Tổ chuyên giúp việc Hội đồng thẩm định giá đất hưởng 10% kinh phí được trích</w:t>
      </w:r>
      <w:r w:rsidRPr="00A63A7C">
        <w:rPr>
          <w:sz w:val="28"/>
          <w:szCs w:val="28"/>
          <w:bdr w:val="none" w:sz="0" w:space="0" w:color="auto" w:frame="1"/>
          <w:lang w:val="nl-NL"/>
        </w:rPr>
        <w:t>.</w:t>
      </w:r>
    </w:p>
    <w:p w14:paraId="17328741" w14:textId="77777777" w:rsidR="00332405" w:rsidRPr="00A63A7C" w:rsidRDefault="00332405" w:rsidP="00332405">
      <w:pPr>
        <w:pStyle w:val="NormalWeb"/>
        <w:widowControl w:val="0"/>
        <w:shd w:val="clear" w:color="auto" w:fill="FFFFFF"/>
        <w:spacing w:before="0" w:beforeAutospacing="0" w:after="120" w:afterAutospacing="0"/>
        <w:ind w:firstLine="709"/>
        <w:jc w:val="both"/>
        <w:textAlignment w:val="baseline"/>
        <w:rPr>
          <w:sz w:val="28"/>
          <w:szCs w:val="28"/>
          <w:bdr w:val="none" w:sz="0" w:space="0" w:color="auto" w:frame="1"/>
          <w:lang w:val="nl-NL"/>
        </w:rPr>
      </w:pPr>
      <w:r w:rsidRPr="00A63A7C">
        <w:rPr>
          <w:sz w:val="28"/>
          <w:szCs w:val="28"/>
          <w:bdr w:val="none" w:sz="0" w:space="0" w:color="auto" w:frame="1"/>
          <w:lang w:val="nl-NL"/>
        </w:rPr>
        <w:t xml:space="preserve">2. Cơ quan thẩm định dự toán kinh phí tổ chức thực hiện bồi thường, hỗ trợ và tái định cư (Sở Tài chính hoặc Phòng Tài chính - Kế hoạch huyện, thành phố): 1% trên kinh phí được trích tổ chức thực hiện bồi thường, hỗ trợ và tái định cư để phục vụ công tác thẩm định dự toán chi tiết nội dung và số tiền tổ chức thực hiện bồi thường, hỗ trợ và tái định cư. Mức trích tối thiểu </w:t>
      </w:r>
      <w:r>
        <w:rPr>
          <w:sz w:val="28"/>
          <w:szCs w:val="28"/>
          <w:bdr w:val="none" w:sz="0" w:space="0" w:color="auto" w:frame="1"/>
          <w:lang w:val="nl-NL"/>
        </w:rPr>
        <w:t>1.0</w:t>
      </w:r>
      <w:r w:rsidRPr="00A63A7C">
        <w:rPr>
          <w:sz w:val="28"/>
          <w:szCs w:val="28"/>
          <w:bdr w:val="none" w:sz="0" w:space="0" w:color="auto" w:frame="1"/>
          <w:lang w:val="nl-NL"/>
        </w:rPr>
        <w:t>00.000 đồng/phương án.</w:t>
      </w:r>
    </w:p>
    <w:p w14:paraId="087B768C" w14:textId="77777777" w:rsidR="00332405" w:rsidRPr="00A63A7C" w:rsidRDefault="00332405" w:rsidP="00332405">
      <w:pPr>
        <w:pStyle w:val="NormalWeb"/>
        <w:widowControl w:val="0"/>
        <w:shd w:val="clear" w:color="auto" w:fill="FFFFFF"/>
        <w:spacing w:before="0" w:beforeAutospacing="0" w:after="120" w:afterAutospacing="0"/>
        <w:ind w:firstLine="709"/>
        <w:jc w:val="both"/>
        <w:textAlignment w:val="baseline"/>
        <w:rPr>
          <w:sz w:val="28"/>
          <w:szCs w:val="28"/>
          <w:bdr w:val="none" w:sz="0" w:space="0" w:color="auto" w:frame="1"/>
          <w:lang w:val="nl-NL"/>
        </w:rPr>
      </w:pPr>
      <w:r w:rsidRPr="00A63A7C">
        <w:rPr>
          <w:sz w:val="28"/>
          <w:szCs w:val="28"/>
          <w:bdr w:val="none" w:sz="0" w:space="0" w:color="auto" w:frame="1"/>
          <w:lang w:val="nl-NL"/>
        </w:rPr>
        <w:t xml:space="preserve">3. Ban chỉ đạo bồi thường, hỗ trợ và tái định cư hoặc Ban giải phóng mặt bằng tỉnh hoặc huyện, thành phố (nếu có): 1% trên kinh phí được trích tổ chức thực hiện bồi thường, hỗ trợ và tái định cư, để phục vụ cho công tác chỉ đạo, kiểm tra, hướng dẫn thực hiện các chính sách bồi thường, giải quyết những vướng mắc trong công tác tổ chức thực hiện bồi thường, hỗ trợ và tái định cư. Mức trích tối thiểu </w:t>
      </w:r>
      <w:r>
        <w:rPr>
          <w:sz w:val="28"/>
          <w:szCs w:val="28"/>
          <w:bdr w:val="none" w:sz="0" w:space="0" w:color="auto" w:frame="1"/>
          <w:lang w:val="nl-NL"/>
        </w:rPr>
        <w:t>2.000.</w:t>
      </w:r>
      <w:r w:rsidRPr="00A63A7C">
        <w:rPr>
          <w:sz w:val="28"/>
          <w:szCs w:val="28"/>
          <w:bdr w:val="none" w:sz="0" w:space="0" w:color="auto" w:frame="1"/>
          <w:lang w:val="nl-NL"/>
        </w:rPr>
        <w:t>000 đồng/phương án.</w:t>
      </w:r>
    </w:p>
    <w:p w14:paraId="4C03E067" w14:textId="037F999A" w:rsidR="00BE03EE" w:rsidRPr="00041076" w:rsidRDefault="00332405" w:rsidP="00332405">
      <w:pPr>
        <w:tabs>
          <w:tab w:val="right" w:pos="8100"/>
        </w:tabs>
        <w:spacing w:after="120"/>
        <w:ind w:firstLine="720"/>
        <w:jc w:val="both"/>
        <w:rPr>
          <w:iCs/>
        </w:rPr>
      </w:pPr>
      <w:r w:rsidRPr="00A63A7C">
        <w:rPr>
          <w:bdr w:val="none" w:sz="0" w:space="0" w:color="auto" w:frame="1"/>
          <w:lang w:val="nl-NL"/>
        </w:rPr>
        <w:t xml:space="preserve">4. Tổ chức thực hiện công tác bồi thường, hỗ trợ và tái định cư sử dụng phần kinh phí còn lại để thực hiện nhiệm vụ bồi thường, hỗ trợ, tái định cư khi Nhà nước thu hồi đất trên địa bàn tỉnh Tây Ninh và </w:t>
      </w:r>
      <w:r>
        <w:rPr>
          <w:bdr w:val="none" w:sz="0" w:space="0" w:color="auto" w:frame="1"/>
          <w:lang w:val="nl-NL"/>
        </w:rPr>
        <w:t xml:space="preserve">được sử dụng, thanh, </w:t>
      </w:r>
      <w:r w:rsidRPr="00A63A7C">
        <w:rPr>
          <w:bdr w:val="none" w:sz="0" w:space="0" w:color="auto" w:frame="1"/>
          <w:lang w:val="nl-NL"/>
        </w:rPr>
        <w:t>quyết toán kinh phí theo quy định</w:t>
      </w:r>
      <w:r>
        <w:rPr>
          <w:bdr w:val="none" w:sz="0" w:space="0" w:color="auto" w:frame="1"/>
          <w:lang w:val="nl-NL"/>
        </w:rPr>
        <w:t xml:space="preserve"> </w:t>
      </w:r>
      <w:r w:rsidRPr="00EC70AF">
        <w:rPr>
          <w:bCs/>
          <w:iCs/>
          <w:bdr w:val="none" w:sz="0" w:space="0" w:color="auto" w:frame="1"/>
          <w:lang w:val="nl-NL"/>
        </w:rPr>
        <w:t>tại khoản 2 và khoản 3 Điều 6 Thông tư số 61/2021/TT-BTC</w:t>
      </w:r>
      <w:r w:rsidRPr="00A63A7C">
        <w:rPr>
          <w:bdr w:val="none" w:sz="0" w:space="0" w:color="auto" w:frame="1"/>
          <w:lang w:val="nl-NL"/>
        </w:rPr>
        <w:t>.</w:t>
      </w:r>
    </w:p>
    <w:p w14:paraId="7F2E8E13" w14:textId="3E075D8B" w:rsidR="00BE03EE" w:rsidRPr="00041076" w:rsidRDefault="00EE6435" w:rsidP="00882D7C">
      <w:pPr>
        <w:tabs>
          <w:tab w:val="right" w:pos="8100"/>
        </w:tabs>
        <w:spacing w:after="120"/>
        <w:ind w:firstLine="720"/>
        <w:jc w:val="both"/>
        <w:rPr>
          <w:b/>
        </w:rPr>
      </w:pPr>
      <w:r w:rsidRPr="00041076">
        <w:rPr>
          <w:b/>
          <w:iCs/>
        </w:rPr>
        <w:lastRenderedPageBreak/>
        <w:t xml:space="preserve">Điều </w:t>
      </w:r>
      <w:r w:rsidR="002C75D6">
        <w:rPr>
          <w:b/>
          <w:iCs/>
        </w:rPr>
        <w:t>3</w:t>
      </w:r>
      <w:r w:rsidRPr="00041076">
        <w:rPr>
          <w:b/>
          <w:iCs/>
        </w:rPr>
        <w:t>.</w:t>
      </w:r>
      <w:r w:rsidRPr="00041076">
        <w:rPr>
          <w:iCs/>
        </w:rPr>
        <w:t xml:space="preserve"> </w:t>
      </w:r>
      <w:r w:rsidR="00BE03EE" w:rsidRPr="00041076">
        <w:rPr>
          <w:iCs/>
        </w:rPr>
        <w:t>Quyết định này có hiệu lực thi hành kể từ ngày</w:t>
      </w:r>
      <w:r w:rsidR="0068618C" w:rsidRPr="00041076">
        <w:rPr>
          <w:iCs/>
        </w:rPr>
        <w:t xml:space="preserve"> </w:t>
      </w:r>
      <w:r w:rsidR="00AF5B84" w:rsidRPr="00041076">
        <w:rPr>
          <w:iCs/>
        </w:rPr>
        <w:t>…</w:t>
      </w:r>
      <w:r w:rsidR="00BE03EE" w:rsidRPr="00041076">
        <w:rPr>
          <w:iCs/>
        </w:rPr>
        <w:t xml:space="preserve"> tháng </w:t>
      </w:r>
      <w:r w:rsidR="00AF5B84" w:rsidRPr="00041076">
        <w:rPr>
          <w:iCs/>
        </w:rPr>
        <w:t>…</w:t>
      </w:r>
      <w:r w:rsidR="0068618C" w:rsidRPr="00041076">
        <w:rPr>
          <w:iCs/>
        </w:rPr>
        <w:t xml:space="preserve"> </w:t>
      </w:r>
      <w:r w:rsidR="00BE03EE" w:rsidRPr="00041076">
        <w:rPr>
          <w:iCs/>
        </w:rPr>
        <w:t>năm 2023</w:t>
      </w:r>
      <w:r w:rsidR="002C75D6">
        <w:rPr>
          <w:iCs/>
        </w:rPr>
        <w:t xml:space="preserve">, </w:t>
      </w:r>
      <w:r w:rsidR="002C75D6" w:rsidRPr="002C75D6">
        <w:rPr>
          <w:iCs/>
        </w:rPr>
        <w:t xml:space="preserve">thay thế Quyết định số </w:t>
      </w:r>
      <w:r w:rsidR="002C75D6">
        <w:rPr>
          <w:iCs/>
        </w:rPr>
        <w:t>18/2017</w:t>
      </w:r>
      <w:r w:rsidR="002C75D6" w:rsidRPr="002C75D6">
        <w:rPr>
          <w:iCs/>
        </w:rPr>
        <w:t xml:space="preserve">/QĐ-UBND ngày </w:t>
      </w:r>
      <w:r w:rsidR="002C75D6">
        <w:rPr>
          <w:iCs/>
        </w:rPr>
        <w:t>12 tháng 6 năm 2017</w:t>
      </w:r>
      <w:r w:rsidR="002C75D6" w:rsidRPr="002C75D6">
        <w:rPr>
          <w:iCs/>
        </w:rPr>
        <w:t xml:space="preserve"> của Ủy ban nhân dân tỉnh quy định mức trích, kinh phí dự phòng, tỷ lệ phân chia và mức chi kinh phí tổ chức thực hiện bồi thường, hỗ trợ tái định cư khi nhà nước thu hồi đất trên địa bàn tỉnh tây ninh.</w:t>
      </w:r>
    </w:p>
    <w:p w14:paraId="5E565803" w14:textId="350C325F" w:rsidR="002D6D68" w:rsidRDefault="002D6D68" w:rsidP="00DC55AA">
      <w:pPr>
        <w:spacing w:after="240"/>
        <w:ind w:firstLine="720"/>
        <w:jc w:val="both"/>
      </w:pPr>
      <w:r w:rsidRPr="00041076">
        <w:rPr>
          <w:b/>
        </w:rPr>
        <w:t xml:space="preserve">Điều </w:t>
      </w:r>
      <w:r w:rsidR="002C75D6">
        <w:rPr>
          <w:b/>
        </w:rPr>
        <w:t>4</w:t>
      </w:r>
      <w:r w:rsidRPr="00041076">
        <w:rPr>
          <w:b/>
        </w:rPr>
        <w:t>.</w:t>
      </w:r>
      <w:r w:rsidR="002B5643" w:rsidRPr="00041076">
        <w:t xml:space="preserve"> Chánh Văn phòng Ủy ban nhân dân</w:t>
      </w:r>
      <w:r w:rsidRPr="00041076">
        <w:t xml:space="preserve"> tỉnh, Giám đốc</w:t>
      </w:r>
      <w:r w:rsidR="00BE03EE" w:rsidRPr="00041076">
        <w:t xml:space="preserve"> các Sở:</w:t>
      </w:r>
      <w:r w:rsidRPr="00041076">
        <w:t xml:space="preserve"> Tài chính, </w:t>
      </w:r>
      <w:r w:rsidR="002C75D6">
        <w:t>Tài nguyên và Môi trường</w:t>
      </w:r>
      <w:r w:rsidR="00BE03EE" w:rsidRPr="00041076">
        <w:t xml:space="preserve">, Tư pháp, </w:t>
      </w:r>
      <w:r w:rsidR="00005901" w:rsidRPr="00041076">
        <w:t>Kho bạc Nhà nước</w:t>
      </w:r>
      <w:r w:rsidR="00BB3006" w:rsidRPr="00041076">
        <w:t xml:space="preserve"> tỉnh</w:t>
      </w:r>
      <w:r w:rsidR="00BE03EE" w:rsidRPr="00041076">
        <w:t>;</w:t>
      </w:r>
      <w:r w:rsidR="00005901" w:rsidRPr="00041076">
        <w:t xml:space="preserve"> </w:t>
      </w:r>
      <w:r w:rsidR="00D038C0" w:rsidRPr="00D038C0">
        <w:t xml:space="preserve">Chủ tịch Ủy ban nhân dân các huyện, </w:t>
      </w:r>
      <w:r w:rsidR="00D038C0">
        <w:t xml:space="preserve">thị xã, </w:t>
      </w:r>
      <w:r w:rsidR="00D038C0" w:rsidRPr="00D038C0">
        <w:t>thành phố</w:t>
      </w:r>
      <w:r w:rsidR="00D038C0">
        <w:t>;</w:t>
      </w:r>
      <w:r w:rsidR="00D038C0" w:rsidRPr="00D038C0">
        <w:t xml:space="preserve"> </w:t>
      </w:r>
      <w:r w:rsidR="00BE03EE" w:rsidRPr="00041076">
        <w:t xml:space="preserve">Thủ trưởng các </w:t>
      </w:r>
      <w:r w:rsidR="00D038C0">
        <w:t>đơn vị có liên quan</w:t>
      </w:r>
      <w:r w:rsidR="00BE03EE" w:rsidRPr="00041076">
        <w:t xml:space="preserve"> </w:t>
      </w:r>
      <w:r w:rsidR="007B7D91" w:rsidRPr="00041076">
        <w:rPr>
          <w:lang w:val="nl-NL"/>
        </w:rPr>
        <w:t xml:space="preserve">chịu </w:t>
      </w:r>
      <w:r w:rsidR="007B7D91" w:rsidRPr="008317A7">
        <w:rPr>
          <w:lang w:val="nl-NL"/>
        </w:rPr>
        <w:t>trách nhiệm thi hành Quyết định này</w:t>
      </w:r>
      <w:r w:rsidRPr="007B7D91">
        <w:t>./.</w:t>
      </w:r>
    </w:p>
    <w:tbl>
      <w:tblPr>
        <w:tblW w:w="0" w:type="auto"/>
        <w:tblLook w:val="04A0" w:firstRow="1" w:lastRow="0" w:firstColumn="1" w:lastColumn="0" w:noHBand="0" w:noVBand="1"/>
      </w:tblPr>
      <w:tblGrid>
        <w:gridCol w:w="4662"/>
        <w:gridCol w:w="4626"/>
      </w:tblGrid>
      <w:tr w:rsidR="00BE03EE" w:rsidRPr="00A751AC" w14:paraId="3BBFA252" w14:textId="77777777" w:rsidTr="002C5FB8">
        <w:trPr>
          <w:trHeight w:val="4867"/>
        </w:trPr>
        <w:tc>
          <w:tcPr>
            <w:tcW w:w="4662" w:type="dxa"/>
            <w:shd w:val="clear" w:color="auto" w:fill="auto"/>
          </w:tcPr>
          <w:p w14:paraId="41497574" w14:textId="77777777" w:rsidR="00BE03EE" w:rsidRPr="00BE03EE" w:rsidRDefault="00BE03EE" w:rsidP="002C5FB8">
            <w:pPr>
              <w:widowControl w:val="0"/>
              <w:rPr>
                <w:b/>
                <w:bCs/>
                <w:iCs/>
                <w:sz w:val="24"/>
                <w:szCs w:val="24"/>
                <w:lang w:val="pl-PL"/>
              </w:rPr>
            </w:pPr>
            <w:r w:rsidRPr="00BE03EE">
              <w:rPr>
                <w:b/>
                <w:bCs/>
                <w:i/>
                <w:iCs/>
                <w:sz w:val="24"/>
                <w:szCs w:val="24"/>
                <w:lang w:val="pl-PL"/>
              </w:rPr>
              <w:t>Nơi nhận:</w:t>
            </w:r>
            <w:r w:rsidRPr="00BE03EE">
              <w:rPr>
                <w:b/>
                <w:bCs/>
                <w:iCs/>
                <w:sz w:val="24"/>
                <w:szCs w:val="24"/>
                <w:lang w:val="pl-PL"/>
              </w:rPr>
              <w:tab/>
            </w:r>
            <w:r w:rsidRPr="00BE03EE">
              <w:rPr>
                <w:b/>
                <w:bCs/>
                <w:iCs/>
                <w:sz w:val="24"/>
                <w:szCs w:val="24"/>
                <w:lang w:val="pl-PL"/>
              </w:rPr>
              <w:tab/>
              <w:t xml:space="preserve">                                </w:t>
            </w:r>
          </w:p>
          <w:p w14:paraId="760ECD41" w14:textId="4327E8C4" w:rsidR="00BE03EE" w:rsidRPr="00A751AC" w:rsidRDefault="00BE03EE" w:rsidP="007B7D91">
            <w:pPr>
              <w:widowControl w:val="0"/>
              <w:rPr>
                <w:sz w:val="22"/>
                <w:szCs w:val="22"/>
                <w:lang w:val="pl-PL"/>
              </w:rPr>
            </w:pPr>
            <w:r w:rsidRPr="00A751AC">
              <w:rPr>
                <w:sz w:val="22"/>
                <w:szCs w:val="22"/>
                <w:shd w:val="clear" w:color="auto" w:fill="FFFFFF"/>
                <w:lang w:val="pl-PL"/>
              </w:rPr>
              <w:t>- Văn phòng Chính phủ;</w:t>
            </w:r>
            <w:r w:rsidRPr="00A751AC">
              <w:rPr>
                <w:sz w:val="22"/>
                <w:szCs w:val="22"/>
                <w:lang w:val="pl-PL"/>
              </w:rPr>
              <w:br/>
            </w:r>
            <w:r w:rsidRPr="00A751AC">
              <w:rPr>
                <w:sz w:val="22"/>
                <w:szCs w:val="22"/>
                <w:shd w:val="clear" w:color="auto" w:fill="FFFFFF"/>
                <w:lang w:val="pl-PL"/>
              </w:rPr>
              <w:t xml:space="preserve">- </w:t>
            </w:r>
            <w:r w:rsidR="00DC55AA">
              <w:rPr>
                <w:sz w:val="22"/>
                <w:szCs w:val="22"/>
                <w:shd w:val="clear" w:color="auto" w:fill="FFFFFF"/>
                <w:lang w:val="pl-PL"/>
              </w:rPr>
              <w:t>Bộ Tài chính</w:t>
            </w:r>
            <w:r w:rsidRPr="00A751AC">
              <w:rPr>
                <w:sz w:val="22"/>
                <w:szCs w:val="22"/>
                <w:shd w:val="clear" w:color="auto" w:fill="FFFFFF"/>
                <w:lang w:val="pl-PL"/>
              </w:rPr>
              <w:t>;</w:t>
            </w:r>
            <w:r w:rsidRPr="00A751AC">
              <w:rPr>
                <w:sz w:val="22"/>
                <w:szCs w:val="22"/>
                <w:lang w:val="pl-PL"/>
              </w:rPr>
              <w:br/>
            </w:r>
            <w:r w:rsidRPr="00A751AC">
              <w:rPr>
                <w:sz w:val="22"/>
                <w:szCs w:val="22"/>
                <w:shd w:val="clear" w:color="auto" w:fill="FFFFFF"/>
                <w:lang w:val="pl-PL"/>
              </w:rPr>
              <w:t>- Vụ Pháp chế - Bộ Tài chính;</w:t>
            </w:r>
            <w:r w:rsidRPr="00A751AC">
              <w:rPr>
                <w:sz w:val="22"/>
                <w:szCs w:val="22"/>
                <w:bdr w:val="none" w:sz="0" w:space="0" w:color="auto" w:frame="1"/>
                <w:shd w:val="clear" w:color="auto" w:fill="FFFFFF"/>
                <w:lang w:val="pl-PL"/>
              </w:rPr>
              <w:br/>
              <w:t>- Cục Kiểm tra văn bản QPPL - Bộ Tư pháp;</w:t>
            </w:r>
            <w:r w:rsidRPr="00A751AC">
              <w:rPr>
                <w:sz w:val="22"/>
                <w:szCs w:val="22"/>
                <w:bdr w:val="none" w:sz="0" w:space="0" w:color="auto" w:frame="1"/>
                <w:shd w:val="clear" w:color="auto" w:fill="FFFFFF"/>
                <w:lang w:val="pl-PL"/>
              </w:rPr>
              <w:br/>
            </w:r>
            <w:r w:rsidR="007B7D91">
              <w:rPr>
                <w:sz w:val="22"/>
                <w:szCs w:val="22"/>
                <w:lang w:val="nl-NL"/>
              </w:rPr>
              <w:t xml:space="preserve">- </w:t>
            </w:r>
            <w:r w:rsidR="007B7D91" w:rsidRPr="008317A7">
              <w:rPr>
                <w:sz w:val="22"/>
                <w:szCs w:val="22"/>
                <w:lang w:val="nl-NL"/>
              </w:rPr>
              <w:t>TTTU, TT HĐND tỉnh;</w:t>
            </w:r>
            <w:r w:rsidRPr="00A751AC">
              <w:rPr>
                <w:sz w:val="22"/>
                <w:szCs w:val="22"/>
                <w:bdr w:val="none" w:sz="0" w:space="0" w:color="auto" w:frame="1"/>
                <w:shd w:val="clear" w:color="auto" w:fill="FFFFFF"/>
                <w:lang w:val="pl-PL"/>
              </w:rPr>
              <w:br/>
              <w:t xml:space="preserve">- </w:t>
            </w:r>
            <w:r w:rsidR="007B7D91">
              <w:rPr>
                <w:sz w:val="22"/>
                <w:szCs w:val="22"/>
                <w:bdr w:val="none" w:sz="0" w:space="0" w:color="auto" w:frame="1"/>
                <w:shd w:val="clear" w:color="auto" w:fill="FFFFFF"/>
                <w:lang w:val="pl-PL"/>
              </w:rPr>
              <w:t>Như điều 4</w:t>
            </w:r>
            <w:r w:rsidRPr="00A751AC">
              <w:rPr>
                <w:sz w:val="22"/>
                <w:szCs w:val="22"/>
                <w:bdr w:val="none" w:sz="0" w:space="0" w:color="auto" w:frame="1"/>
                <w:shd w:val="clear" w:color="auto" w:fill="FFFFFF"/>
                <w:lang w:val="pl-PL"/>
              </w:rPr>
              <w:t>;</w:t>
            </w:r>
            <w:r w:rsidRPr="00A751AC">
              <w:rPr>
                <w:sz w:val="22"/>
                <w:szCs w:val="22"/>
                <w:bdr w:val="none" w:sz="0" w:space="0" w:color="auto" w:frame="1"/>
                <w:shd w:val="clear" w:color="auto" w:fill="FFFFFF"/>
                <w:lang w:val="pl-PL"/>
              </w:rPr>
              <w:br/>
              <w:t>- HĐND, UBND các huyện, thị xã, thành phố;</w:t>
            </w:r>
            <w:r w:rsidRPr="00A751AC">
              <w:rPr>
                <w:sz w:val="22"/>
                <w:szCs w:val="22"/>
                <w:bdr w:val="none" w:sz="0" w:space="0" w:color="auto" w:frame="1"/>
                <w:shd w:val="clear" w:color="auto" w:fill="FFFFFF"/>
                <w:lang w:val="pl-PL"/>
              </w:rPr>
              <w:br/>
              <w:t>- Báo Tây Ninh;</w:t>
            </w:r>
            <w:r w:rsidRPr="00A751AC">
              <w:rPr>
                <w:sz w:val="22"/>
                <w:szCs w:val="22"/>
                <w:bdr w:val="none" w:sz="0" w:space="0" w:color="auto" w:frame="1"/>
                <w:shd w:val="clear" w:color="auto" w:fill="FFFFFF"/>
                <w:lang w:val="pl-PL"/>
              </w:rPr>
              <w:br/>
              <w:t>- Trung tâm Công báo - Tin học tỉnh;</w:t>
            </w:r>
            <w:r w:rsidRPr="00A751AC">
              <w:rPr>
                <w:sz w:val="22"/>
                <w:szCs w:val="22"/>
                <w:bdr w:val="none" w:sz="0" w:space="0" w:color="auto" w:frame="1"/>
                <w:shd w:val="clear" w:color="auto" w:fill="FFFFFF"/>
                <w:lang w:val="pl-PL"/>
              </w:rPr>
              <w:br/>
              <w:t xml:space="preserve">- Lưu: VT, VP </w:t>
            </w:r>
            <w:r w:rsidR="007B7D91">
              <w:rPr>
                <w:sz w:val="22"/>
                <w:szCs w:val="22"/>
                <w:bdr w:val="none" w:sz="0" w:space="0" w:color="auto" w:frame="1"/>
                <w:shd w:val="clear" w:color="auto" w:fill="FFFFFF"/>
                <w:lang w:val="pl-PL"/>
              </w:rPr>
              <w:t>UBND</w:t>
            </w:r>
            <w:r w:rsidRPr="00A751AC">
              <w:rPr>
                <w:sz w:val="22"/>
                <w:szCs w:val="22"/>
                <w:bdr w:val="none" w:sz="0" w:space="0" w:color="auto" w:frame="1"/>
                <w:shd w:val="clear" w:color="auto" w:fill="FFFFFF"/>
                <w:lang w:val="pl-PL"/>
              </w:rPr>
              <w:t xml:space="preserve"> tỉnh.</w:t>
            </w:r>
          </w:p>
        </w:tc>
        <w:tc>
          <w:tcPr>
            <w:tcW w:w="4626" w:type="dxa"/>
            <w:shd w:val="clear" w:color="auto" w:fill="auto"/>
          </w:tcPr>
          <w:p w14:paraId="76F708BC" w14:textId="561888A5" w:rsidR="00BE03EE" w:rsidRDefault="00BE03EE" w:rsidP="00BE03EE">
            <w:pPr>
              <w:pStyle w:val="BodyTextIndent"/>
              <w:widowControl w:val="0"/>
              <w:ind w:right="92" w:firstLine="50"/>
              <w:jc w:val="center"/>
              <w:rPr>
                <w:b/>
                <w:bCs/>
                <w:sz w:val="28"/>
                <w:szCs w:val="28"/>
                <w:lang w:val="pl-PL"/>
              </w:rPr>
            </w:pPr>
            <w:r>
              <w:rPr>
                <w:b/>
                <w:bCs/>
                <w:sz w:val="28"/>
                <w:szCs w:val="28"/>
                <w:lang w:val="pl-PL"/>
              </w:rPr>
              <w:t>TM. ỦY BAN NHÂN DÂN</w:t>
            </w:r>
          </w:p>
          <w:p w14:paraId="30E53518" w14:textId="77777777" w:rsidR="00BE03EE" w:rsidRPr="00A751AC" w:rsidRDefault="00BE03EE" w:rsidP="00BE03EE">
            <w:pPr>
              <w:pStyle w:val="BodyTextIndent"/>
              <w:widowControl w:val="0"/>
              <w:ind w:right="92" w:firstLine="50"/>
              <w:jc w:val="center"/>
              <w:rPr>
                <w:b/>
                <w:bCs/>
                <w:sz w:val="28"/>
                <w:szCs w:val="28"/>
                <w:lang w:val="pl-PL"/>
              </w:rPr>
            </w:pPr>
            <w:r w:rsidRPr="00A751AC">
              <w:rPr>
                <w:b/>
                <w:bCs/>
                <w:sz w:val="28"/>
                <w:szCs w:val="28"/>
                <w:lang w:val="pl-PL"/>
              </w:rPr>
              <w:t>CHỦ TỊCH</w:t>
            </w:r>
          </w:p>
          <w:p w14:paraId="6432A492" w14:textId="77777777" w:rsidR="00BE03EE" w:rsidRPr="00A751AC" w:rsidRDefault="00BE03EE" w:rsidP="002C5FB8">
            <w:pPr>
              <w:pStyle w:val="BodyTextIndent"/>
              <w:widowControl w:val="0"/>
              <w:ind w:right="92"/>
              <w:jc w:val="center"/>
              <w:rPr>
                <w:b/>
                <w:bCs/>
                <w:sz w:val="28"/>
                <w:szCs w:val="28"/>
                <w:lang w:val="pl-PL"/>
              </w:rPr>
            </w:pPr>
          </w:p>
          <w:p w14:paraId="05E0607D" w14:textId="77777777" w:rsidR="00BE03EE" w:rsidRPr="00A751AC" w:rsidRDefault="00BE03EE" w:rsidP="002C5FB8">
            <w:pPr>
              <w:pStyle w:val="BodyTextIndent"/>
              <w:widowControl w:val="0"/>
              <w:ind w:right="92"/>
              <w:jc w:val="center"/>
              <w:rPr>
                <w:b/>
                <w:bCs/>
                <w:sz w:val="28"/>
                <w:szCs w:val="28"/>
                <w:lang w:val="pl-PL"/>
              </w:rPr>
            </w:pPr>
          </w:p>
          <w:p w14:paraId="0BE26106" w14:textId="77777777" w:rsidR="00BE03EE" w:rsidRPr="00A751AC" w:rsidRDefault="00BE03EE" w:rsidP="002C5FB8">
            <w:pPr>
              <w:pStyle w:val="BodyTextIndent"/>
              <w:widowControl w:val="0"/>
              <w:ind w:right="92"/>
              <w:jc w:val="center"/>
              <w:rPr>
                <w:b/>
                <w:bCs/>
                <w:sz w:val="28"/>
                <w:szCs w:val="28"/>
                <w:lang w:val="pl-PL"/>
              </w:rPr>
            </w:pPr>
          </w:p>
          <w:p w14:paraId="06B0CCD8" w14:textId="77777777" w:rsidR="00BE03EE" w:rsidRPr="00A751AC" w:rsidRDefault="00BE03EE" w:rsidP="002C5FB8">
            <w:pPr>
              <w:pStyle w:val="BodyTextIndent"/>
              <w:widowControl w:val="0"/>
              <w:ind w:right="92"/>
              <w:jc w:val="center"/>
              <w:rPr>
                <w:b/>
                <w:bCs/>
                <w:sz w:val="28"/>
                <w:szCs w:val="28"/>
                <w:lang w:val="pl-PL"/>
              </w:rPr>
            </w:pPr>
          </w:p>
          <w:p w14:paraId="47AF2DA5" w14:textId="77777777" w:rsidR="00BE03EE" w:rsidRPr="00A751AC" w:rsidRDefault="00BE03EE" w:rsidP="002C5FB8">
            <w:pPr>
              <w:pStyle w:val="BodyTextIndent"/>
              <w:widowControl w:val="0"/>
              <w:ind w:right="92"/>
              <w:jc w:val="center"/>
              <w:rPr>
                <w:b/>
                <w:bCs/>
                <w:sz w:val="28"/>
                <w:szCs w:val="28"/>
                <w:lang w:val="pl-PL"/>
              </w:rPr>
            </w:pPr>
          </w:p>
          <w:p w14:paraId="2676EF1B" w14:textId="77777777" w:rsidR="00BE03EE" w:rsidRPr="00A751AC" w:rsidRDefault="00BE03EE" w:rsidP="002C5FB8">
            <w:pPr>
              <w:pStyle w:val="BodyTextIndent"/>
              <w:widowControl w:val="0"/>
              <w:ind w:right="92"/>
              <w:jc w:val="center"/>
              <w:rPr>
                <w:spacing w:val="-2"/>
                <w:sz w:val="28"/>
                <w:szCs w:val="28"/>
                <w:lang w:val="pl-PL"/>
              </w:rPr>
            </w:pPr>
          </w:p>
        </w:tc>
      </w:tr>
    </w:tbl>
    <w:p w14:paraId="7B92941F" w14:textId="77777777" w:rsidR="00BE03EE" w:rsidRPr="00764CE9" w:rsidRDefault="00BE03EE" w:rsidP="00882D7C">
      <w:pPr>
        <w:spacing w:after="120"/>
        <w:ind w:firstLine="720"/>
        <w:jc w:val="both"/>
        <w:rPr>
          <w:sz w:val="26"/>
          <w:szCs w:val="26"/>
        </w:rPr>
      </w:pPr>
    </w:p>
    <w:sectPr w:rsidR="00BE03EE" w:rsidRPr="00764CE9" w:rsidSect="0024441C">
      <w:headerReference w:type="default" r:id="rId8"/>
      <w:footerReference w:type="default" r:id="rId9"/>
      <w:pgSz w:w="11907" w:h="16840" w:code="9"/>
      <w:pgMar w:top="1701" w:right="1134" w:bottom="1134" w:left="1474" w:header="72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257ED1" w14:textId="77777777" w:rsidR="0066279A" w:rsidRDefault="0066279A" w:rsidP="00C53E1D">
      <w:r>
        <w:separator/>
      </w:r>
    </w:p>
  </w:endnote>
  <w:endnote w:type="continuationSeparator" w:id="0">
    <w:p w14:paraId="18BFCA59" w14:textId="77777777" w:rsidR="0066279A" w:rsidRDefault="0066279A" w:rsidP="00C53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123A9" w14:textId="129EF56B" w:rsidR="00356637" w:rsidRPr="00EF573C" w:rsidRDefault="00356637">
    <w:pPr>
      <w:pStyle w:val="Footer"/>
      <w:jc w:val="right"/>
      <w:rPr>
        <w:sz w:val="26"/>
        <w:szCs w:val="26"/>
      </w:rPr>
    </w:pPr>
  </w:p>
  <w:p w14:paraId="6E41FB29" w14:textId="77777777" w:rsidR="00356637" w:rsidRDefault="003566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59C024" w14:textId="77777777" w:rsidR="0066279A" w:rsidRDefault="0066279A" w:rsidP="00C53E1D">
      <w:r>
        <w:separator/>
      </w:r>
    </w:p>
  </w:footnote>
  <w:footnote w:type="continuationSeparator" w:id="0">
    <w:p w14:paraId="7D9BAD4D" w14:textId="77777777" w:rsidR="0066279A" w:rsidRDefault="0066279A" w:rsidP="00C53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6104517"/>
      <w:docPartObj>
        <w:docPartGallery w:val="Page Numbers (Top of Page)"/>
        <w:docPartUnique/>
      </w:docPartObj>
    </w:sdtPr>
    <w:sdtEndPr>
      <w:rPr>
        <w:noProof/>
      </w:rPr>
    </w:sdtEndPr>
    <w:sdtContent>
      <w:p w14:paraId="6BD98A54" w14:textId="31A4AA4B" w:rsidR="00421808" w:rsidRDefault="00421808">
        <w:pPr>
          <w:pStyle w:val="Header"/>
          <w:jc w:val="center"/>
        </w:pPr>
        <w:r>
          <w:fldChar w:fldCharType="begin"/>
        </w:r>
        <w:r>
          <w:instrText xml:space="preserve"> PAGE   \* MERGEFORMAT </w:instrText>
        </w:r>
        <w:r>
          <w:fldChar w:fldCharType="separate"/>
        </w:r>
        <w:r w:rsidR="00334D58">
          <w:rPr>
            <w:noProof/>
          </w:rPr>
          <w:t>3</w:t>
        </w:r>
        <w:r>
          <w:rPr>
            <w:noProof/>
          </w:rPr>
          <w:fldChar w:fldCharType="end"/>
        </w:r>
      </w:p>
    </w:sdtContent>
  </w:sdt>
  <w:p w14:paraId="26444EEC" w14:textId="77777777" w:rsidR="00356637" w:rsidRDefault="003566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A90BCB"/>
    <w:multiLevelType w:val="hybridMultilevel"/>
    <w:tmpl w:val="5308C212"/>
    <w:lvl w:ilvl="0" w:tplc="900CB6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D68"/>
    <w:rsid w:val="00000A5E"/>
    <w:rsid w:val="00005901"/>
    <w:rsid w:val="00016CA4"/>
    <w:rsid w:val="00024871"/>
    <w:rsid w:val="00035D9E"/>
    <w:rsid w:val="0003710D"/>
    <w:rsid w:val="00041076"/>
    <w:rsid w:val="000551CB"/>
    <w:rsid w:val="0006450E"/>
    <w:rsid w:val="00071101"/>
    <w:rsid w:val="00080E14"/>
    <w:rsid w:val="000A23E6"/>
    <w:rsid w:val="000C221E"/>
    <w:rsid w:val="000D45C7"/>
    <w:rsid w:val="000D5C73"/>
    <w:rsid w:val="000E77AA"/>
    <w:rsid w:val="00110921"/>
    <w:rsid w:val="001244B6"/>
    <w:rsid w:val="00125158"/>
    <w:rsid w:val="001263AE"/>
    <w:rsid w:val="00147B2A"/>
    <w:rsid w:val="00147CB7"/>
    <w:rsid w:val="0015707B"/>
    <w:rsid w:val="001613FB"/>
    <w:rsid w:val="00165D1B"/>
    <w:rsid w:val="00182A97"/>
    <w:rsid w:val="0019177F"/>
    <w:rsid w:val="001951A0"/>
    <w:rsid w:val="001C274F"/>
    <w:rsid w:val="001C41A5"/>
    <w:rsid w:val="001C56E4"/>
    <w:rsid w:val="001E1D62"/>
    <w:rsid w:val="001E3A63"/>
    <w:rsid w:val="002052EC"/>
    <w:rsid w:val="002111D4"/>
    <w:rsid w:val="002438FF"/>
    <w:rsid w:val="0024441C"/>
    <w:rsid w:val="002478CE"/>
    <w:rsid w:val="00254CA3"/>
    <w:rsid w:val="00273FD6"/>
    <w:rsid w:val="002774A6"/>
    <w:rsid w:val="00282843"/>
    <w:rsid w:val="00283786"/>
    <w:rsid w:val="002873D9"/>
    <w:rsid w:val="002A1FBF"/>
    <w:rsid w:val="002A662C"/>
    <w:rsid w:val="002A79F0"/>
    <w:rsid w:val="002A7CBB"/>
    <w:rsid w:val="002B5643"/>
    <w:rsid w:val="002C20D8"/>
    <w:rsid w:val="002C75D6"/>
    <w:rsid w:val="002D2BEC"/>
    <w:rsid w:val="002D421C"/>
    <w:rsid w:val="002D4507"/>
    <w:rsid w:val="002D6D68"/>
    <w:rsid w:val="002E32B6"/>
    <w:rsid w:val="00302F09"/>
    <w:rsid w:val="00303468"/>
    <w:rsid w:val="00306A53"/>
    <w:rsid w:val="00323731"/>
    <w:rsid w:val="00325D2D"/>
    <w:rsid w:val="0033095F"/>
    <w:rsid w:val="00332405"/>
    <w:rsid w:val="00334D58"/>
    <w:rsid w:val="00334E91"/>
    <w:rsid w:val="00356637"/>
    <w:rsid w:val="003607D5"/>
    <w:rsid w:val="003670DF"/>
    <w:rsid w:val="003A24DE"/>
    <w:rsid w:val="003A6118"/>
    <w:rsid w:val="003B0AF4"/>
    <w:rsid w:val="003B71E3"/>
    <w:rsid w:val="003C06C8"/>
    <w:rsid w:val="003C0F4C"/>
    <w:rsid w:val="003C3F1D"/>
    <w:rsid w:val="003C488D"/>
    <w:rsid w:val="003C5933"/>
    <w:rsid w:val="003F5C0B"/>
    <w:rsid w:val="0040457D"/>
    <w:rsid w:val="00416DD5"/>
    <w:rsid w:val="00421808"/>
    <w:rsid w:val="0043000C"/>
    <w:rsid w:val="00441AF1"/>
    <w:rsid w:val="00475A73"/>
    <w:rsid w:val="00481EBD"/>
    <w:rsid w:val="004A0801"/>
    <w:rsid w:val="004A6190"/>
    <w:rsid w:val="004D1392"/>
    <w:rsid w:val="004D3C71"/>
    <w:rsid w:val="004E3F42"/>
    <w:rsid w:val="004F034E"/>
    <w:rsid w:val="005133C4"/>
    <w:rsid w:val="00544817"/>
    <w:rsid w:val="00545CAE"/>
    <w:rsid w:val="00573877"/>
    <w:rsid w:val="005750E0"/>
    <w:rsid w:val="005A34AD"/>
    <w:rsid w:val="005D0A68"/>
    <w:rsid w:val="005D5BF5"/>
    <w:rsid w:val="005D656F"/>
    <w:rsid w:val="005D7402"/>
    <w:rsid w:val="005F2777"/>
    <w:rsid w:val="005F30FE"/>
    <w:rsid w:val="0061102F"/>
    <w:rsid w:val="00614DF9"/>
    <w:rsid w:val="006155BF"/>
    <w:rsid w:val="00622290"/>
    <w:rsid w:val="00625AAF"/>
    <w:rsid w:val="00634B14"/>
    <w:rsid w:val="0065080C"/>
    <w:rsid w:val="0065760F"/>
    <w:rsid w:val="00657C39"/>
    <w:rsid w:val="0066279A"/>
    <w:rsid w:val="006639D8"/>
    <w:rsid w:val="00664320"/>
    <w:rsid w:val="006726EE"/>
    <w:rsid w:val="00675437"/>
    <w:rsid w:val="0067694F"/>
    <w:rsid w:val="0068618C"/>
    <w:rsid w:val="006B0F0D"/>
    <w:rsid w:val="006B5CBE"/>
    <w:rsid w:val="006D5513"/>
    <w:rsid w:val="006E4906"/>
    <w:rsid w:val="006F10DD"/>
    <w:rsid w:val="00722D38"/>
    <w:rsid w:val="007358CE"/>
    <w:rsid w:val="00742ECA"/>
    <w:rsid w:val="00743846"/>
    <w:rsid w:val="00764010"/>
    <w:rsid w:val="00764CE9"/>
    <w:rsid w:val="0076555B"/>
    <w:rsid w:val="007668DC"/>
    <w:rsid w:val="00771D22"/>
    <w:rsid w:val="007745B9"/>
    <w:rsid w:val="007A237D"/>
    <w:rsid w:val="007A60F5"/>
    <w:rsid w:val="007A69B1"/>
    <w:rsid w:val="007B1213"/>
    <w:rsid w:val="007B7D91"/>
    <w:rsid w:val="007D0553"/>
    <w:rsid w:val="007D669D"/>
    <w:rsid w:val="007D7F21"/>
    <w:rsid w:val="007E25E2"/>
    <w:rsid w:val="007E6FB5"/>
    <w:rsid w:val="007F3AE1"/>
    <w:rsid w:val="007F441A"/>
    <w:rsid w:val="007F539F"/>
    <w:rsid w:val="008008FB"/>
    <w:rsid w:val="00821F00"/>
    <w:rsid w:val="008255AF"/>
    <w:rsid w:val="00847E32"/>
    <w:rsid w:val="0085568D"/>
    <w:rsid w:val="008658B5"/>
    <w:rsid w:val="008671D2"/>
    <w:rsid w:val="0087215B"/>
    <w:rsid w:val="00876CD2"/>
    <w:rsid w:val="00882D7C"/>
    <w:rsid w:val="008844F5"/>
    <w:rsid w:val="00885679"/>
    <w:rsid w:val="00894208"/>
    <w:rsid w:val="008A3B76"/>
    <w:rsid w:val="008A480F"/>
    <w:rsid w:val="008A541F"/>
    <w:rsid w:val="008C096A"/>
    <w:rsid w:val="008C272C"/>
    <w:rsid w:val="008E1586"/>
    <w:rsid w:val="008E3D73"/>
    <w:rsid w:val="008E4632"/>
    <w:rsid w:val="008F1B4B"/>
    <w:rsid w:val="008F7061"/>
    <w:rsid w:val="008F7E8D"/>
    <w:rsid w:val="00900FEE"/>
    <w:rsid w:val="00913563"/>
    <w:rsid w:val="00962DCE"/>
    <w:rsid w:val="00976B24"/>
    <w:rsid w:val="00981474"/>
    <w:rsid w:val="00995A62"/>
    <w:rsid w:val="009A1FFA"/>
    <w:rsid w:val="009B3D16"/>
    <w:rsid w:val="009C73E2"/>
    <w:rsid w:val="009D0E65"/>
    <w:rsid w:val="009D63BC"/>
    <w:rsid w:val="009E671F"/>
    <w:rsid w:val="00A03BC5"/>
    <w:rsid w:val="00A0791C"/>
    <w:rsid w:val="00A338DE"/>
    <w:rsid w:val="00A44F92"/>
    <w:rsid w:val="00A71E33"/>
    <w:rsid w:val="00A74F84"/>
    <w:rsid w:val="00A855F0"/>
    <w:rsid w:val="00AA2F68"/>
    <w:rsid w:val="00AA34DE"/>
    <w:rsid w:val="00AA4857"/>
    <w:rsid w:val="00AB7334"/>
    <w:rsid w:val="00AC0A40"/>
    <w:rsid w:val="00AC2BCA"/>
    <w:rsid w:val="00AC367E"/>
    <w:rsid w:val="00AF20C1"/>
    <w:rsid w:val="00AF5B84"/>
    <w:rsid w:val="00B203B9"/>
    <w:rsid w:val="00B33E5D"/>
    <w:rsid w:val="00B41A54"/>
    <w:rsid w:val="00B56494"/>
    <w:rsid w:val="00B61F5A"/>
    <w:rsid w:val="00B67CB6"/>
    <w:rsid w:val="00B8210A"/>
    <w:rsid w:val="00B83638"/>
    <w:rsid w:val="00B937E6"/>
    <w:rsid w:val="00BB15C9"/>
    <w:rsid w:val="00BB3006"/>
    <w:rsid w:val="00BD27F4"/>
    <w:rsid w:val="00BE03EE"/>
    <w:rsid w:val="00C005FF"/>
    <w:rsid w:val="00C019FD"/>
    <w:rsid w:val="00C07B56"/>
    <w:rsid w:val="00C1060B"/>
    <w:rsid w:val="00C41275"/>
    <w:rsid w:val="00C442AF"/>
    <w:rsid w:val="00C53E1D"/>
    <w:rsid w:val="00C53FA9"/>
    <w:rsid w:val="00C55D0B"/>
    <w:rsid w:val="00C74767"/>
    <w:rsid w:val="00C75FDE"/>
    <w:rsid w:val="00C92242"/>
    <w:rsid w:val="00C978B2"/>
    <w:rsid w:val="00CB7CC0"/>
    <w:rsid w:val="00CC3050"/>
    <w:rsid w:val="00CD2A4D"/>
    <w:rsid w:val="00CE4FF4"/>
    <w:rsid w:val="00CE59B3"/>
    <w:rsid w:val="00CF4869"/>
    <w:rsid w:val="00CF558B"/>
    <w:rsid w:val="00D038C0"/>
    <w:rsid w:val="00D06246"/>
    <w:rsid w:val="00D13775"/>
    <w:rsid w:val="00D13E4F"/>
    <w:rsid w:val="00D16377"/>
    <w:rsid w:val="00D246E2"/>
    <w:rsid w:val="00D26F2B"/>
    <w:rsid w:val="00D31A4C"/>
    <w:rsid w:val="00D5797F"/>
    <w:rsid w:val="00D609B0"/>
    <w:rsid w:val="00D92923"/>
    <w:rsid w:val="00DA2152"/>
    <w:rsid w:val="00DB7E52"/>
    <w:rsid w:val="00DC0E02"/>
    <w:rsid w:val="00DC55AA"/>
    <w:rsid w:val="00DF7B3B"/>
    <w:rsid w:val="00E03A6B"/>
    <w:rsid w:val="00E13A71"/>
    <w:rsid w:val="00E16AD1"/>
    <w:rsid w:val="00E37D94"/>
    <w:rsid w:val="00E54539"/>
    <w:rsid w:val="00E75742"/>
    <w:rsid w:val="00E95622"/>
    <w:rsid w:val="00EB0C92"/>
    <w:rsid w:val="00EB7FB1"/>
    <w:rsid w:val="00EC4CE2"/>
    <w:rsid w:val="00EC70AF"/>
    <w:rsid w:val="00EE6435"/>
    <w:rsid w:val="00EF573C"/>
    <w:rsid w:val="00F017EF"/>
    <w:rsid w:val="00F02EC2"/>
    <w:rsid w:val="00F22391"/>
    <w:rsid w:val="00F27C6A"/>
    <w:rsid w:val="00F5088D"/>
    <w:rsid w:val="00F53A77"/>
    <w:rsid w:val="00F611B6"/>
    <w:rsid w:val="00F655D8"/>
    <w:rsid w:val="00F65611"/>
    <w:rsid w:val="00F86D71"/>
    <w:rsid w:val="00F910A8"/>
    <w:rsid w:val="00F925BB"/>
    <w:rsid w:val="00F93587"/>
    <w:rsid w:val="00FA7553"/>
    <w:rsid w:val="00FB5918"/>
    <w:rsid w:val="00FE1046"/>
    <w:rsid w:val="00FE5A78"/>
    <w:rsid w:val="00FE7DBE"/>
    <w:rsid w:val="00FF3A18"/>
    <w:rsid w:val="00FF3C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58B81677"/>
  <w15:docId w15:val="{55B9E09D-C561-400F-ADA3-5EE91DF5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4539"/>
    <w:rPr>
      <w:sz w:val="28"/>
      <w:szCs w:val="28"/>
    </w:rPr>
  </w:style>
  <w:style w:type="paragraph" w:styleId="Heading1">
    <w:name w:val="heading 1"/>
    <w:basedOn w:val="Normal"/>
    <w:next w:val="Normal"/>
    <w:qFormat/>
    <w:rsid w:val="002D6D68"/>
    <w:pPr>
      <w:keepNext/>
      <w:jc w:val="center"/>
      <w:outlineLvl w:val="0"/>
    </w:pPr>
    <w:rPr>
      <w:b/>
      <w:szCs w:val="20"/>
    </w:rPr>
  </w:style>
  <w:style w:type="paragraph" w:styleId="Heading2">
    <w:name w:val="heading 2"/>
    <w:basedOn w:val="Normal"/>
    <w:next w:val="Normal"/>
    <w:qFormat/>
    <w:rsid w:val="002D6D68"/>
    <w:pPr>
      <w:keepNext/>
      <w:jc w:val="both"/>
      <w:outlineLvl w:val="1"/>
    </w:pPr>
    <w:rPr>
      <w:b/>
      <w:sz w:val="26"/>
      <w:szCs w:val="20"/>
    </w:rPr>
  </w:style>
  <w:style w:type="paragraph" w:styleId="Heading4">
    <w:name w:val="heading 4"/>
    <w:basedOn w:val="Normal"/>
    <w:next w:val="Normal"/>
    <w:qFormat/>
    <w:rsid w:val="002D6D68"/>
    <w:pPr>
      <w:keepNext/>
      <w:ind w:left="2160"/>
      <w:jc w:val="both"/>
      <w:outlineLvl w:val="3"/>
    </w:pPr>
    <w:rPr>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2D6D68"/>
    <w:pPr>
      <w:ind w:firstLine="720"/>
      <w:jc w:val="both"/>
    </w:pPr>
    <w:rPr>
      <w:sz w:val="26"/>
      <w:szCs w:val="20"/>
    </w:rPr>
  </w:style>
  <w:style w:type="paragraph" w:styleId="BodyTextIndent2">
    <w:name w:val="Body Text Indent 2"/>
    <w:basedOn w:val="Normal"/>
    <w:rsid w:val="002D6D68"/>
    <w:pPr>
      <w:ind w:firstLine="720"/>
      <w:jc w:val="both"/>
    </w:pPr>
    <w:rPr>
      <w:szCs w:val="20"/>
    </w:rPr>
  </w:style>
  <w:style w:type="character" w:customStyle="1" w:styleId="BodyTextIndentChar">
    <w:name w:val="Body Text Indent Char"/>
    <w:link w:val="BodyTextIndent"/>
    <w:locked/>
    <w:rsid w:val="002D6D68"/>
    <w:rPr>
      <w:sz w:val="26"/>
      <w:lang w:val="en-US" w:eastAsia="en-US" w:bidi="ar-SA"/>
    </w:rPr>
  </w:style>
  <w:style w:type="paragraph" w:styleId="BalloonText">
    <w:name w:val="Balloon Text"/>
    <w:basedOn w:val="Normal"/>
    <w:semiHidden/>
    <w:rsid w:val="0085568D"/>
    <w:rPr>
      <w:rFonts w:ascii="Tahoma" w:hAnsi="Tahoma" w:cs="Tahoma"/>
      <w:sz w:val="16"/>
      <w:szCs w:val="16"/>
    </w:rPr>
  </w:style>
  <w:style w:type="paragraph" w:styleId="Header">
    <w:name w:val="header"/>
    <w:basedOn w:val="Normal"/>
    <w:link w:val="HeaderChar"/>
    <w:uiPriority w:val="99"/>
    <w:rsid w:val="00C53E1D"/>
    <w:pPr>
      <w:tabs>
        <w:tab w:val="center" w:pos="4680"/>
        <w:tab w:val="right" w:pos="9360"/>
      </w:tabs>
    </w:pPr>
  </w:style>
  <w:style w:type="character" w:customStyle="1" w:styleId="HeaderChar">
    <w:name w:val="Header Char"/>
    <w:link w:val="Header"/>
    <w:uiPriority w:val="99"/>
    <w:rsid w:val="00C53E1D"/>
    <w:rPr>
      <w:sz w:val="28"/>
      <w:szCs w:val="28"/>
    </w:rPr>
  </w:style>
  <w:style w:type="paragraph" w:styleId="Footer">
    <w:name w:val="footer"/>
    <w:basedOn w:val="Normal"/>
    <w:link w:val="FooterChar"/>
    <w:uiPriority w:val="99"/>
    <w:rsid w:val="00C53E1D"/>
    <w:pPr>
      <w:tabs>
        <w:tab w:val="center" w:pos="4680"/>
        <w:tab w:val="right" w:pos="9360"/>
      </w:tabs>
    </w:pPr>
  </w:style>
  <w:style w:type="character" w:customStyle="1" w:styleId="FooterChar">
    <w:name w:val="Footer Char"/>
    <w:link w:val="Footer"/>
    <w:uiPriority w:val="99"/>
    <w:rsid w:val="00C53E1D"/>
    <w:rPr>
      <w:sz w:val="28"/>
      <w:szCs w:val="28"/>
    </w:rPr>
  </w:style>
  <w:style w:type="character" w:styleId="Emphasis">
    <w:name w:val="Emphasis"/>
    <w:basedOn w:val="DefaultParagraphFont"/>
    <w:uiPriority w:val="20"/>
    <w:qFormat/>
    <w:rsid w:val="002A1FBF"/>
    <w:rPr>
      <w:i/>
      <w:iCs/>
    </w:rPr>
  </w:style>
  <w:style w:type="paragraph" w:styleId="BodyText">
    <w:name w:val="Body Text"/>
    <w:basedOn w:val="Normal"/>
    <w:link w:val="BodyTextChar"/>
    <w:semiHidden/>
    <w:unhideWhenUsed/>
    <w:rsid w:val="003C488D"/>
    <w:pPr>
      <w:spacing w:after="120"/>
    </w:pPr>
  </w:style>
  <w:style w:type="character" w:customStyle="1" w:styleId="BodyTextChar">
    <w:name w:val="Body Text Char"/>
    <w:basedOn w:val="DefaultParagraphFont"/>
    <w:link w:val="BodyText"/>
    <w:semiHidden/>
    <w:rsid w:val="003C488D"/>
    <w:rPr>
      <w:sz w:val="28"/>
      <w:szCs w:val="28"/>
    </w:rPr>
  </w:style>
  <w:style w:type="paragraph" w:styleId="ListParagraph">
    <w:name w:val="List Paragraph"/>
    <w:basedOn w:val="Normal"/>
    <w:uiPriority w:val="34"/>
    <w:qFormat/>
    <w:rsid w:val="00BE03EE"/>
    <w:pPr>
      <w:ind w:left="720"/>
      <w:contextualSpacing/>
    </w:pPr>
  </w:style>
  <w:style w:type="paragraph" w:styleId="NormalWeb">
    <w:name w:val="Normal (Web)"/>
    <w:aliases w:val="Normal (Web) Char"/>
    <w:basedOn w:val="Normal"/>
    <w:link w:val="NormalWebChar1"/>
    <w:uiPriority w:val="99"/>
    <w:unhideWhenUsed/>
    <w:rsid w:val="00332405"/>
    <w:pPr>
      <w:spacing w:before="100" w:beforeAutospacing="1" w:after="100" w:afterAutospacing="1"/>
    </w:pPr>
    <w:rPr>
      <w:sz w:val="24"/>
      <w:szCs w:val="24"/>
    </w:rPr>
  </w:style>
  <w:style w:type="character" w:customStyle="1" w:styleId="NormalWebChar1">
    <w:name w:val="Normal (Web) Char1"/>
    <w:aliases w:val="Normal (Web) Char Char"/>
    <w:link w:val="NormalWeb"/>
    <w:uiPriority w:val="99"/>
    <w:rsid w:val="003324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059274">
      <w:bodyDiv w:val="1"/>
      <w:marLeft w:val="0"/>
      <w:marRight w:val="0"/>
      <w:marTop w:val="0"/>
      <w:marBottom w:val="0"/>
      <w:divBdr>
        <w:top w:val="none" w:sz="0" w:space="0" w:color="auto"/>
        <w:left w:val="none" w:sz="0" w:space="0" w:color="auto"/>
        <w:bottom w:val="none" w:sz="0" w:space="0" w:color="auto"/>
        <w:right w:val="none" w:sz="0" w:space="0" w:color="auto"/>
      </w:divBdr>
    </w:div>
    <w:div w:id="214735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D4296-1707-47A3-A99F-E98443098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Pages>
  <Words>852</Words>
  <Characters>4860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ỦY BAN NHÂN DÂN                   CỘNG HÒA XÃ HỘI CHỦ NGHĨA VIỆT NAM</vt:lpstr>
    </vt:vector>
  </TitlesOfParts>
  <Company>VPUB</Company>
  <LinksUpToDate>false</LinksUpToDate>
  <CharactersWithSpaces>5701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                   CỘNG HÒA XÃ HỘI CHỦ NGHĨA VIỆT NAM</dc:title>
  <dc:creator>TTTH</dc:creator>
  <cp:lastModifiedBy>Phạm Vũ Nguyệt Thu</cp:lastModifiedBy>
  <cp:revision>80</cp:revision>
  <cp:lastPrinted>2023-03-16T06:48:00Z</cp:lastPrinted>
  <dcterms:created xsi:type="dcterms:W3CDTF">2021-05-21T01:53:00Z</dcterms:created>
  <dcterms:modified xsi:type="dcterms:W3CDTF">2023-06-22T10:18:00Z</dcterms:modified>
</cp:coreProperties>
</file>