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38" w:rsidRDefault="00FA6538"/>
    <w:p w:rsidR="00FA6538" w:rsidRDefault="00FA6538"/>
    <w:tbl>
      <w:tblPr>
        <w:tblW w:w="9720" w:type="dxa"/>
        <w:tblInd w:w="-72" w:type="dxa"/>
        <w:tblLayout w:type="fixed"/>
        <w:tblLook w:val="0000" w:firstRow="0" w:lastRow="0" w:firstColumn="0" w:lastColumn="0" w:noHBand="0" w:noVBand="0"/>
      </w:tblPr>
      <w:tblGrid>
        <w:gridCol w:w="3870"/>
        <w:gridCol w:w="5850"/>
      </w:tblGrid>
      <w:tr w:rsidR="00797A73" w:rsidRPr="008F141F" w:rsidTr="00C94678">
        <w:trPr>
          <w:trHeight w:val="1431"/>
        </w:trPr>
        <w:tc>
          <w:tcPr>
            <w:tcW w:w="3870" w:type="dxa"/>
          </w:tcPr>
          <w:p w:rsidR="00B04BBD" w:rsidRPr="008F141F" w:rsidRDefault="00B04BBD" w:rsidP="00C94678">
            <w:pPr>
              <w:pStyle w:val="Heading1"/>
              <w:spacing w:beforeLines="10" w:before="24" w:afterLines="10" w:after="24"/>
              <w:jc w:val="center"/>
              <w:rPr>
                <w:rFonts w:ascii="Times New Roman" w:hAnsi="Times New Roman"/>
                <w:b w:val="0"/>
                <w:noProof/>
                <w:sz w:val="26"/>
                <w:szCs w:val="26"/>
                <w:lang w:val="en-US" w:eastAsia="en-US"/>
              </w:rPr>
            </w:pPr>
            <w:r w:rsidRPr="008F141F">
              <w:rPr>
                <w:rFonts w:ascii="Times New Roman" w:hAnsi="Times New Roman"/>
                <w:b w:val="0"/>
                <w:noProof/>
                <w:sz w:val="26"/>
                <w:szCs w:val="26"/>
                <w:lang w:val="en-US" w:eastAsia="en-US"/>
              </w:rPr>
              <w:t>UBND TỈNH TÂY NINH</w:t>
            </w:r>
          </w:p>
          <w:p w:rsidR="00B04BBD" w:rsidRPr="008F141F" w:rsidRDefault="00B04BBD" w:rsidP="00C94678">
            <w:pPr>
              <w:spacing w:beforeLines="10" w:before="24" w:afterLines="10" w:after="24"/>
              <w:jc w:val="center"/>
              <w:rPr>
                <w:b/>
                <w:sz w:val="26"/>
                <w:szCs w:val="26"/>
              </w:rPr>
            </w:pPr>
            <w:r w:rsidRPr="008F141F">
              <w:rPr>
                <w:b/>
                <w:sz w:val="26"/>
                <w:szCs w:val="26"/>
              </w:rPr>
              <w:t>BAN QUẢN LÝ KHU KINH TẾ</w:t>
            </w:r>
          </w:p>
          <w:p w:rsidR="00B04BBD" w:rsidRPr="008F141F" w:rsidRDefault="006F1840" w:rsidP="00C94678">
            <w:pPr>
              <w:spacing w:beforeLines="10" w:before="24" w:afterLines="10" w:after="24"/>
              <w:jc w:val="center"/>
              <w:rPr>
                <w:color w:val="FFFFFF" w:themeColor="background1"/>
                <w:sz w:val="26"/>
                <w:szCs w:val="26"/>
                <w:u w:val="single"/>
              </w:rPr>
            </w:pPr>
            <w:r w:rsidRPr="008F141F">
              <w:rPr>
                <w:noProof/>
                <w:color w:val="FFFFFF" w:themeColor="background1"/>
                <w:sz w:val="26"/>
                <w:szCs w:val="26"/>
                <w:u w:val="single"/>
                <w:lang w:val="en-GB" w:eastAsia="en-GB"/>
              </w:rPr>
              <mc:AlternateContent>
                <mc:Choice Requires="wps">
                  <w:drawing>
                    <wp:anchor distT="4294967294" distB="4294967294" distL="114300" distR="114300" simplePos="0" relativeHeight="251670528" behindDoc="0" locked="0" layoutInCell="1" allowOverlap="1" wp14:anchorId="0572FACC" wp14:editId="270C1A5C">
                      <wp:simplePos x="0" y="0"/>
                      <wp:positionH relativeFrom="column">
                        <wp:posOffset>764535</wp:posOffset>
                      </wp:positionH>
                      <wp:positionV relativeFrom="paragraph">
                        <wp:posOffset>12700</wp:posOffset>
                      </wp:positionV>
                      <wp:extent cx="760837"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83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C501"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pt,1pt" to="1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eeGwIAADUEAAAOAAAAZHJzL2Uyb0RvYy54bWysU02P2yAQvVfqf0DcE9uJm2StOKvKTnrZ&#10;tpGy/QEEsI2KAQGJE1X97x3Ih7LtparqAx6YmcebN8Py+dRLdOTWCa1KnI1TjLiimgnVlvjb62a0&#10;wM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" strokeweight=".25pt"/>
                  </w:pict>
                </mc:Fallback>
              </mc:AlternateContent>
            </w:r>
          </w:p>
          <w:p w:rsidR="00B04BBD" w:rsidRPr="008F141F" w:rsidRDefault="00B04BBD" w:rsidP="00C94678">
            <w:pPr>
              <w:spacing w:beforeLines="10" w:before="24" w:afterLines="10" w:after="24"/>
              <w:jc w:val="center"/>
              <w:rPr>
                <w:sz w:val="26"/>
                <w:szCs w:val="26"/>
              </w:rPr>
            </w:pPr>
            <w:r w:rsidRPr="008F141F">
              <w:rPr>
                <w:sz w:val="26"/>
                <w:szCs w:val="26"/>
              </w:rPr>
              <w:t xml:space="preserve">     </w:t>
            </w:r>
          </w:p>
          <w:p w:rsidR="00B04BBD" w:rsidRPr="008F141F" w:rsidRDefault="00B04BBD" w:rsidP="00C94678">
            <w:pPr>
              <w:jc w:val="both"/>
              <w:rPr>
                <w:sz w:val="26"/>
                <w:szCs w:val="26"/>
              </w:rPr>
            </w:pPr>
          </w:p>
        </w:tc>
        <w:tc>
          <w:tcPr>
            <w:tcW w:w="5850" w:type="dxa"/>
          </w:tcPr>
          <w:p w:rsidR="00B04BBD" w:rsidRPr="008F141F" w:rsidRDefault="00B04BBD" w:rsidP="00C94678">
            <w:pPr>
              <w:pStyle w:val="BodyText"/>
              <w:spacing w:beforeLines="10" w:before="24" w:afterLines="10" w:after="24"/>
              <w:jc w:val="center"/>
              <w:rPr>
                <w:b/>
                <w:sz w:val="26"/>
                <w:szCs w:val="26"/>
                <w:lang w:val="en-US" w:eastAsia="en-US"/>
              </w:rPr>
            </w:pPr>
            <w:r w:rsidRPr="008F141F">
              <w:rPr>
                <w:b/>
                <w:sz w:val="26"/>
                <w:szCs w:val="26"/>
                <w:lang w:val="en-US" w:eastAsia="en-US"/>
              </w:rPr>
              <w:t>CỘNG HÒA XÃ HỘI CHỦ NGHĨA VIỆT NAM</w:t>
            </w:r>
          </w:p>
          <w:p w:rsidR="00B04BBD" w:rsidRPr="008F141F" w:rsidRDefault="00B04BBD" w:rsidP="00C94678">
            <w:pPr>
              <w:spacing w:beforeLines="10" w:before="24" w:afterLines="10" w:after="24"/>
              <w:jc w:val="center"/>
              <w:rPr>
                <w:b/>
              </w:rPr>
            </w:pPr>
            <w:r w:rsidRPr="008F141F">
              <w:rPr>
                <w:rFonts w:hint="eastAsia"/>
                <w:b/>
              </w:rPr>
              <w:t>Đ</w:t>
            </w:r>
            <w:r w:rsidRPr="008F141F">
              <w:rPr>
                <w:b/>
              </w:rPr>
              <w:t>ộc lập - Tự do - Hạnh phúc</w:t>
            </w:r>
          </w:p>
          <w:p w:rsidR="00B04BBD" w:rsidRPr="008F141F" w:rsidRDefault="00225F8E" w:rsidP="00C94678">
            <w:pPr>
              <w:spacing w:beforeLines="10" w:before="24" w:afterLines="10" w:after="24"/>
              <w:jc w:val="center"/>
              <w:rPr>
                <w:sz w:val="18"/>
              </w:rPr>
            </w:pPr>
            <w:r w:rsidRPr="008F141F">
              <w:rPr>
                <w:noProof/>
                <w:lang w:val="en-GB" w:eastAsia="en-GB"/>
              </w:rPr>
              <mc:AlternateContent>
                <mc:Choice Requires="wps">
                  <w:drawing>
                    <wp:anchor distT="4294967294" distB="4294967294" distL="114300" distR="114300" simplePos="0" relativeHeight="251649024" behindDoc="0" locked="0" layoutInCell="1" allowOverlap="1" wp14:anchorId="2612B10E" wp14:editId="361F325D">
                      <wp:simplePos x="0" y="0"/>
                      <wp:positionH relativeFrom="column">
                        <wp:posOffset>745088</wp:posOffset>
                      </wp:positionH>
                      <wp:positionV relativeFrom="paragraph">
                        <wp:posOffset>-1440</wp:posOffset>
                      </wp:positionV>
                      <wp:extent cx="2114986"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98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D16A" id="Straight Connector 3"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pt" to="22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Y0GwIAADYEAAAOAAAAZHJzL2Uyb0RvYy54bWysU8GO2jAQvVfqP1i+Qwik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" strokeweight=".25pt"/>
                  </w:pict>
                </mc:Fallback>
              </mc:AlternateContent>
            </w:r>
          </w:p>
          <w:p w:rsidR="00B04BBD" w:rsidRPr="008F141F" w:rsidRDefault="00B04BBD" w:rsidP="00C94678">
            <w:pPr>
              <w:pStyle w:val="Heading1"/>
              <w:spacing w:beforeLines="10" w:before="24" w:afterLines="10" w:after="24"/>
              <w:jc w:val="center"/>
              <w:rPr>
                <w:rFonts w:ascii="Times New Roman" w:hAnsi="Times New Roman"/>
                <w:b w:val="0"/>
                <w:i/>
                <w:sz w:val="26"/>
                <w:szCs w:val="26"/>
                <w:lang w:val="en-US" w:eastAsia="en-US"/>
              </w:rPr>
            </w:pPr>
            <w:r w:rsidRPr="008F141F">
              <w:rPr>
                <w:rFonts w:ascii="Times New Roman" w:hAnsi="Times New Roman"/>
                <w:b w:val="0"/>
                <w:i/>
                <w:sz w:val="26"/>
                <w:szCs w:val="26"/>
                <w:lang w:val="en-US" w:eastAsia="en-US"/>
              </w:rPr>
              <w:t>Tây Ninh, ngày        tháng       năm 2025</w:t>
            </w:r>
          </w:p>
        </w:tc>
      </w:tr>
    </w:tbl>
    <w:p w:rsidR="00B04BBD" w:rsidRPr="008F141F" w:rsidRDefault="00B04BBD" w:rsidP="00FA6538">
      <w:pPr>
        <w:rPr>
          <w:b/>
        </w:rPr>
      </w:pPr>
    </w:p>
    <w:p w:rsidR="00B04BBD" w:rsidRPr="008F141F" w:rsidRDefault="00B04BBD" w:rsidP="00B04BBD">
      <w:pPr>
        <w:jc w:val="center"/>
        <w:rPr>
          <w:b/>
        </w:rPr>
      </w:pPr>
      <w:r w:rsidRPr="008F141F">
        <w:rPr>
          <w:b/>
        </w:rPr>
        <w:t>ĐỀ ÁN</w:t>
      </w:r>
    </w:p>
    <w:p w:rsidR="00BF0276" w:rsidRPr="00277AB2" w:rsidRDefault="00691CD7" w:rsidP="00BF0276">
      <w:pPr>
        <w:jc w:val="center"/>
        <w:rPr>
          <w:b/>
        </w:rPr>
      </w:pPr>
      <w:r w:rsidRPr="008F141F">
        <w:rPr>
          <w:b/>
        </w:rPr>
        <w:t xml:space="preserve">Xây dựng Nghị quyết </w:t>
      </w:r>
      <w:r w:rsidR="00B04BBD" w:rsidRPr="008F141F">
        <w:rPr>
          <w:b/>
        </w:rPr>
        <w:t xml:space="preserve">Quy định mức thu, chế độ </w:t>
      </w:r>
      <w:r w:rsidR="00B04BBD" w:rsidRPr="00277AB2">
        <w:rPr>
          <w:b/>
        </w:rPr>
        <w:t>thu, nộp, quản lý và sử dụng phí sử dụng công trình kết cấu hạ tầng đối với phương tiện ra, vào cửa khẩu</w:t>
      </w:r>
      <w:r w:rsidR="00B37202" w:rsidRPr="00277AB2">
        <w:rPr>
          <w:b/>
        </w:rPr>
        <w:t xml:space="preserve"> </w:t>
      </w:r>
      <w:r w:rsidR="001D33BC" w:rsidRPr="00277AB2">
        <w:rPr>
          <w:b/>
        </w:rPr>
        <w:t>quốc tế</w:t>
      </w:r>
      <w:r w:rsidR="00B37202" w:rsidRPr="00277AB2">
        <w:rPr>
          <w:b/>
        </w:rPr>
        <w:t xml:space="preserve">, cửa khẩu </w:t>
      </w:r>
      <w:r w:rsidR="001D33BC" w:rsidRPr="00277AB2">
        <w:rPr>
          <w:b/>
        </w:rPr>
        <w:t xml:space="preserve">chính </w:t>
      </w:r>
      <w:r w:rsidR="00B37202" w:rsidRPr="00277AB2">
        <w:rPr>
          <w:b/>
        </w:rPr>
        <w:t>trên địa bàn tỉnh Tây N</w:t>
      </w:r>
      <w:r w:rsidR="00BF0276" w:rsidRPr="00277AB2">
        <w:rPr>
          <w:b/>
        </w:rPr>
        <w:t>inh</w:t>
      </w:r>
    </w:p>
    <w:p w:rsidR="00225F8E" w:rsidRPr="008F141F" w:rsidRDefault="00691CD7" w:rsidP="00BF0276">
      <w:pPr>
        <w:jc w:val="center"/>
        <w:rPr>
          <w:b/>
          <w:i/>
        </w:rPr>
      </w:pPr>
      <w:r w:rsidRPr="008F141F">
        <w:rPr>
          <w:b/>
        </w:rPr>
        <w:t>(</w:t>
      </w:r>
      <w:r w:rsidRPr="008F141F">
        <w:rPr>
          <w:b/>
          <w:i/>
        </w:rPr>
        <w:t>Nghị quyết thay thế Nghị q</w:t>
      </w:r>
      <w:r w:rsidR="00A639C4" w:rsidRPr="008F141F">
        <w:rPr>
          <w:b/>
          <w:i/>
        </w:rPr>
        <w:t xml:space="preserve">uyết số 05/2021/NQ-HĐND </w:t>
      </w:r>
    </w:p>
    <w:p w:rsidR="00691CD7" w:rsidRPr="008F141F" w:rsidRDefault="00A639C4" w:rsidP="00BF0276">
      <w:pPr>
        <w:jc w:val="center"/>
        <w:rPr>
          <w:b/>
        </w:rPr>
      </w:pPr>
      <w:r w:rsidRPr="008F141F">
        <w:rPr>
          <w:b/>
          <w:i/>
        </w:rPr>
        <w:t xml:space="preserve">ngày 01 tháng 7 năm </w:t>
      </w:r>
      <w:r w:rsidR="00691CD7" w:rsidRPr="008F141F">
        <w:rPr>
          <w:b/>
          <w:i/>
        </w:rPr>
        <w:t>2021 của Hội đồng nhân dân tỉnh Tây Ninh</w:t>
      </w:r>
      <w:r w:rsidR="00691CD7" w:rsidRPr="008F141F">
        <w:rPr>
          <w:b/>
        </w:rPr>
        <w:t>)</w:t>
      </w:r>
    </w:p>
    <w:p w:rsidR="00B04BBD" w:rsidRPr="008F141F" w:rsidRDefault="00B04BBD" w:rsidP="00EB1127">
      <w:pPr>
        <w:jc w:val="both"/>
        <w:rPr>
          <w:b/>
          <w:sz w:val="32"/>
          <w:szCs w:val="32"/>
        </w:rPr>
      </w:pPr>
      <w:r w:rsidRPr="008F141F">
        <w:rPr>
          <w:noProof/>
          <w:lang w:val="en-GB" w:eastAsia="en-GB"/>
        </w:rPr>
        <mc:AlternateContent>
          <mc:Choice Requires="wps">
            <w:drawing>
              <wp:anchor distT="0" distB="0" distL="114300" distR="114300" simplePos="0" relativeHeight="251644928" behindDoc="0" locked="0" layoutInCell="1" allowOverlap="1" wp14:anchorId="7C82B8B6" wp14:editId="3DF5175A">
                <wp:simplePos x="0" y="0"/>
                <wp:positionH relativeFrom="column">
                  <wp:posOffset>2313305</wp:posOffset>
                </wp:positionH>
                <wp:positionV relativeFrom="paragraph">
                  <wp:posOffset>25400</wp:posOffset>
                </wp:positionV>
                <wp:extent cx="1240155" cy="0"/>
                <wp:effectExtent l="8890"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073C4" id="_x0000_t32" coordsize="21600,21600" o:spt="32" o:oned="t" path="m,l21600,21600e" filled="f">
                <v:path arrowok="t" fillok="f" o:connecttype="none"/>
                <o:lock v:ext="edit" shapetype="t"/>
              </v:shapetype>
              <v:shape id="Straight Arrow Connector 1" o:spid="_x0000_s1026" type="#_x0000_t32" style="position:absolute;margin-left:182.15pt;margin-top:2pt;width:97.6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Z1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"/>
            </w:pict>
          </mc:Fallback>
        </mc:AlternateContent>
      </w:r>
    </w:p>
    <w:p w:rsidR="00B04BBD" w:rsidRPr="008F141F" w:rsidRDefault="00B04BBD" w:rsidP="00EB1127">
      <w:pPr>
        <w:spacing w:beforeLines="20" w:before="48" w:afterLines="20" w:after="48"/>
        <w:ind w:left="3600" w:firstLine="720"/>
        <w:jc w:val="both"/>
        <w:rPr>
          <w:b/>
        </w:rPr>
      </w:pPr>
      <w:r w:rsidRPr="008F141F">
        <w:rPr>
          <w:b/>
        </w:rPr>
        <w:t>PHẦN I</w:t>
      </w:r>
    </w:p>
    <w:p w:rsidR="00153F2E" w:rsidRDefault="007F5246" w:rsidP="00872684">
      <w:pPr>
        <w:spacing w:beforeLines="20" w:before="48" w:afterLines="20" w:after="48"/>
        <w:jc w:val="center"/>
        <w:rPr>
          <w:b/>
        </w:rPr>
      </w:pPr>
      <w:r w:rsidRPr="008F141F">
        <w:rPr>
          <w:b/>
        </w:rPr>
        <w:t xml:space="preserve"> THỰC TRẠNG </w:t>
      </w:r>
      <w:r w:rsidR="00872684" w:rsidRPr="008F141F">
        <w:rPr>
          <w:b/>
        </w:rPr>
        <w:t xml:space="preserve">TÌNH HÌNH HOẠT ĐỘNG THU, CHI </w:t>
      </w:r>
    </w:p>
    <w:p w:rsidR="00872684" w:rsidRPr="008F141F" w:rsidRDefault="00872684" w:rsidP="00872684">
      <w:pPr>
        <w:spacing w:beforeLines="20" w:before="48" w:afterLines="20" w:after="48"/>
        <w:jc w:val="center"/>
        <w:rPr>
          <w:b/>
        </w:rPr>
      </w:pPr>
      <w:r w:rsidRPr="008F141F">
        <w:rPr>
          <w:b/>
        </w:rPr>
        <w:t>TẠI CÁC CỬA KHẨU THEO NGHỊ QUYẾT SỐ 05/2021/NQ-HĐND</w:t>
      </w:r>
    </w:p>
    <w:p w:rsidR="00872684" w:rsidRPr="008F141F" w:rsidRDefault="007F5246" w:rsidP="007F5246">
      <w:pPr>
        <w:spacing w:beforeLines="60" w:before="144" w:afterLines="60" w:after="144"/>
        <w:ind w:firstLine="720"/>
        <w:jc w:val="both"/>
        <w:rPr>
          <w:b/>
        </w:rPr>
      </w:pPr>
      <w:r w:rsidRPr="008F141F">
        <w:rPr>
          <w:b/>
        </w:rPr>
        <w:t>I</w:t>
      </w:r>
      <w:r w:rsidR="00872684" w:rsidRPr="008F141F">
        <w:rPr>
          <w:b/>
        </w:rPr>
        <w:t xml:space="preserve">. </w:t>
      </w:r>
      <w:r w:rsidRPr="008F141F">
        <w:rPr>
          <w:b/>
          <w:color w:val="000000" w:themeColor="text1"/>
        </w:rPr>
        <w:t>THỰC TRẠNG QUẢN LÝ NHÀ NƯỚC TẠI CỬA KHẨU</w:t>
      </w:r>
    </w:p>
    <w:p w:rsidR="007F5246" w:rsidRPr="008F141F" w:rsidRDefault="007F5246" w:rsidP="007F5246">
      <w:pPr>
        <w:spacing w:before="120" w:after="120"/>
        <w:ind w:firstLine="720"/>
        <w:jc w:val="both"/>
        <w:rPr>
          <w:color w:val="000000" w:themeColor="text1"/>
        </w:rPr>
      </w:pPr>
      <w:r w:rsidRPr="008F141F">
        <w:rPr>
          <w:color w:val="000000" w:themeColor="text1"/>
        </w:rPr>
        <w:t xml:space="preserve">Tây Ninh là một tỉnh có vị trí chiến lược về kinh tế và quốc phòng, là cửa ngõ quan trọng phía Tây mở ra các nước Đông Nam Á của vùng Đông Nam Bộ và vùng kinh tế trọng điểm phía Nam. Toàn tỉnh hiện có diện tích tự nhiên là 4.041,4 km² và dân số </w:t>
      </w:r>
      <w:r w:rsidR="00B11C83" w:rsidRPr="008F141F">
        <w:rPr>
          <w:lang w:val="x-none" w:eastAsia="x-none"/>
        </w:rPr>
        <w:t>1.</w:t>
      </w:r>
      <w:r w:rsidR="00B11C83" w:rsidRPr="008F141F">
        <w:rPr>
          <w:lang w:eastAsia="x-none"/>
        </w:rPr>
        <w:t>194.905</w:t>
      </w:r>
      <w:r w:rsidR="00B11C83" w:rsidRPr="008F141F">
        <w:rPr>
          <w:lang w:val="x-none" w:eastAsia="x-none"/>
        </w:rPr>
        <w:t xml:space="preserve"> người (</w:t>
      </w:r>
      <w:r w:rsidR="00B11C83" w:rsidRPr="008F141F">
        <w:rPr>
          <w:i/>
          <w:lang w:eastAsia="x-none"/>
        </w:rPr>
        <w:t xml:space="preserve">tính </w:t>
      </w:r>
      <w:r w:rsidR="00B11C83" w:rsidRPr="008F141F">
        <w:rPr>
          <w:i/>
          <w:lang w:val="x-none" w:eastAsia="x-none"/>
        </w:rPr>
        <w:t xml:space="preserve">đến </w:t>
      </w:r>
      <w:r w:rsidR="00B11C83" w:rsidRPr="008F141F">
        <w:rPr>
          <w:i/>
          <w:lang w:eastAsia="x-none"/>
        </w:rPr>
        <w:t>tháng 3/2024</w:t>
      </w:r>
      <w:r w:rsidR="00B11C83" w:rsidRPr="008F141F">
        <w:rPr>
          <w:lang w:val="x-none" w:eastAsia="x-none"/>
        </w:rPr>
        <w:t>).</w:t>
      </w:r>
    </w:p>
    <w:p w:rsidR="00C231A8" w:rsidRPr="008F141F" w:rsidRDefault="00C231A8" w:rsidP="00C231A8">
      <w:pPr>
        <w:spacing w:before="120" w:after="120"/>
        <w:ind w:firstLine="720"/>
        <w:jc w:val="both"/>
      </w:pPr>
      <w:r w:rsidRPr="008F141F">
        <w:t>Ngoài ra, Tây Ninh là địa phương giáp Campuchia với chiều dài đường biên giới khoảng 240 km, thuộc nhóm tỉnh có đường biên giới đất liền dài nhất với Campuchia ở khu vực phía Nam Việt Nam. Tỉnh sở hữu hệ thống cửa khẩu chiến lược gồm 3 cửa khẩu quốc tế (Mộc Bài, Xa Mát, Tân Nam) và 3 cửa khẩu chính (Chàng Riệc, Phước Tân, Kà Tum). Trong đó, cửa khẩu quốc tế Mộc Bài cách TP. Hồ Chí Minh 70 km, là cửa khẩu đường bộ lớn nhất phía Nam trên tuyến biên giới Việt Nam - Campuchia, kết nối trực tiếp với các khu công nghiệp tại Svay Rieng (Campuchia) và vùng kinh tế trọng điểm phía Nam.</w:t>
      </w:r>
    </w:p>
    <w:p w:rsidR="00C72B7B" w:rsidRPr="008F141F" w:rsidRDefault="00C231A8" w:rsidP="00C72B7B">
      <w:pPr>
        <w:spacing w:before="120" w:after="120"/>
        <w:jc w:val="both"/>
      </w:pPr>
      <w:r w:rsidRPr="008F141F">
        <w:rPr>
          <w:color w:val="000000" w:themeColor="text1"/>
        </w:rPr>
        <w:tab/>
      </w:r>
      <w:r w:rsidR="00C72B7B" w:rsidRPr="008F141F">
        <w:t xml:space="preserve">Đối với công tác quản lý nhà nước tại cửa khẩu, ngoài </w:t>
      </w:r>
      <w:r w:rsidR="00C72B7B" w:rsidRPr="008F141F">
        <w:rPr>
          <w:bCs/>
        </w:rPr>
        <w:t>Ban Quản lý Khu kinh tế, còn có các lực lượng chức năng khác (Hải quan, Biên phòng, Y tế</w:t>
      </w:r>
      <w:r w:rsidR="00225F8E" w:rsidRPr="008F141F">
        <w:rPr>
          <w:bCs/>
        </w:rPr>
        <w:t xml:space="preserve">, </w:t>
      </w:r>
      <w:r w:rsidR="00C72B7B" w:rsidRPr="008F141F">
        <w:rPr>
          <w:bCs/>
        </w:rPr>
        <w:t xml:space="preserve">…) thực hiện theo chức năng, nhiệm vụ được giao của từng ngành. Mỗi đơn vị hoạt động độc lập, chịu sự chỉ đạo trực tiếp từ cơ quan cấp trên hoặc ngành dọc. Tuy nhiên, về quản lý nhà nước nói chung, Ban Quản lý Khu kinh tế là đơn vị chủ trì điều phối hoạt động của các cửa khẩu chính, cửa khẩu quốc tế trong khu kinh tế theo quy định tại Nghị định số 35/2022/NĐ-CP ngày 28 tháng 5 năm 2022 của Chính phủ về quản lý khu công nghiệp và khu kinh tế và thực hiện </w:t>
      </w:r>
      <w:r w:rsidR="00C72B7B" w:rsidRPr="008F141F">
        <w:t xml:space="preserve">chức năng </w:t>
      </w:r>
      <w:r w:rsidR="00C72B7B" w:rsidRPr="008F141F">
        <w:rPr>
          <w:lang w:val="vi-VN"/>
        </w:rPr>
        <w:t xml:space="preserve">thống nhất quản lý </w:t>
      </w:r>
      <w:r w:rsidR="00C72B7B" w:rsidRPr="008F141F">
        <w:t xml:space="preserve">các </w:t>
      </w:r>
      <w:r w:rsidR="00C72B7B" w:rsidRPr="008F141F">
        <w:rPr>
          <w:lang w:val="vi-VN"/>
        </w:rPr>
        <w:t>hoạt động</w:t>
      </w:r>
      <w:r w:rsidR="00C72B7B" w:rsidRPr="008F141F">
        <w:t xml:space="preserve"> tại cửa khẩu theo quy định tại Chương II Quyết định số 45/2013/QĐ-TTg ngày 25 tháng 7 tháng 2013 của Thủ tướng Chính phủ. </w:t>
      </w:r>
    </w:p>
    <w:p w:rsidR="00C72B7B" w:rsidRPr="008F141F" w:rsidRDefault="00C72B7B" w:rsidP="00C72B7B">
      <w:pPr>
        <w:spacing w:before="120" w:after="120"/>
        <w:ind w:firstLine="720"/>
        <w:jc w:val="both"/>
        <w:rPr>
          <w:bCs/>
          <w:color w:val="000000" w:themeColor="text1"/>
        </w:rPr>
      </w:pPr>
      <w:r w:rsidRPr="008F141F">
        <w:rPr>
          <w:color w:val="000000" w:themeColor="text1"/>
        </w:rPr>
        <w:t xml:space="preserve">Hiện tại, công tác </w:t>
      </w:r>
      <w:r w:rsidRPr="008F141F">
        <w:t xml:space="preserve">triển khai </w:t>
      </w:r>
      <w:r w:rsidR="001A6B27" w:rsidRPr="008F141F">
        <w:rPr>
          <w:color w:val="000000" w:themeColor="text1"/>
        </w:rPr>
        <w:t xml:space="preserve">thu </w:t>
      </w:r>
      <w:r w:rsidR="001A6B27" w:rsidRPr="008F141F">
        <w:t xml:space="preserve">phí </w:t>
      </w:r>
      <w:r w:rsidR="001A6B27" w:rsidRPr="008F141F">
        <w:rPr>
          <w:bCs/>
        </w:rPr>
        <w:t>sử dụng công trình kết cấu hạ tầng đối với phương tiện ra, vào cửa khẩu (sau đây gọi là thu phí hạ tầng cửa khẩu)</w:t>
      </w:r>
      <w:r w:rsidRPr="008F141F">
        <w:t xml:space="preserve"> trong khu kinh tế thực hiện theo quy định tại </w:t>
      </w:r>
      <w:r w:rsidR="009619A2" w:rsidRPr="008F141F">
        <w:rPr>
          <w:bCs/>
        </w:rPr>
        <w:t xml:space="preserve">Nghị quyết số 05/2021/NQ-HĐND ngày 01 </w:t>
      </w:r>
      <w:r w:rsidR="009619A2" w:rsidRPr="008F141F">
        <w:rPr>
          <w:bCs/>
        </w:rPr>
        <w:lastRenderedPageBreak/>
        <w:t>tháng 7 năm 2021 của Hội đồng nhân dân tỉnh  Tây Ninh quy định mức thu, chế độ thu, nộp, quản lý và sử dụng phí sử dụng công trình kết cấu hạ tầng đối với phương tiện ra, vào cửa khẩu Mộc Bài, Xa Mát, Chàng Riệc, Tân Nam</w:t>
      </w:r>
      <w:r w:rsidRPr="008F141F">
        <w:t xml:space="preserve"> (sau đây gọi là Nghị quyết số 05/2021/NQ-HĐND)</w:t>
      </w:r>
      <w:r w:rsidRPr="008F141F">
        <w:rPr>
          <w:color w:val="000000" w:themeColor="text1"/>
        </w:rPr>
        <w:t xml:space="preserve">. </w:t>
      </w:r>
    </w:p>
    <w:p w:rsidR="00C72B7B" w:rsidRPr="008F141F" w:rsidRDefault="00C72B7B" w:rsidP="00C72B7B">
      <w:pPr>
        <w:spacing w:before="120" w:after="120"/>
        <w:ind w:firstLine="720"/>
        <w:jc w:val="both"/>
        <w:rPr>
          <w:bCs/>
          <w:color w:val="000000" w:themeColor="text1"/>
        </w:rPr>
      </w:pPr>
      <w:r w:rsidRPr="008F141F">
        <w:rPr>
          <w:color w:val="000000" w:themeColor="text1"/>
        </w:rPr>
        <w:t xml:space="preserve">Đối với hoạt động </w:t>
      </w:r>
      <w:r w:rsidR="001A6B27" w:rsidRPr="008F141F">
        <w:rPr>
          <w:bCs/>
        </w:rPr>
        <w:t>thu phí hạ tầng cửa khẩu</w:t>
      </w:r>
      <w:r w:rsidRPr="008F141F">
        <w:t xml:space="preserve">, tỉnh đang giao cho 02 đơn vị tổ chức thu phí hạ tầng cửa khẩu gồm: </w:t>
      </w:r>
      <w:r w:rsidRPr="008F141F">
        <w:rPr>
          <w:b/>
        </w:rPr>
        <w:t xml:space="preserve">Trung </w:t>
      </w:r>
      <w:r w:rsidRPr="008F141F">
        <w:rPr>
          <w:b/>
          <w:color w:val="000000" w:themeColor="text1"/>
        </w:rPr>
        <w:t>tâm quản lý cửa khẩu Tây Ninh</w:t>
      </w:r>
      <w:r w:rsidRPr="008F141F">
        <w:rPr>
          <w:color w:val="000000" w:themeColor="text1"/>
        </w:rPr>
        <w:t xml:space="preserve"> trực </w:t>
      </w:r>
      <w:r w:rsidRPr="008F141F">
        <w:t>thuộc Ban Quản lý Khu kinh tế tỉnh Tây Ninh (</w:t>
      </w:r>
      <w:r w:rsidRPr="008F141F">
        <w:rPr>
          <w:i/>
        </w:rPr>
        <w:t xml:space="preserve">tại cửa khẩu quốc tế Mộc Bài, Xa </w:t>
      </w:r>
      <w:r w:rsidR="00533C16" w:rsidRPr="008F141F">
        <w:rPr>
          <w:i/>
        </w:rPr>
        <w:t>Mát</w:t>
      </w:r>
      <w:r w:rsidRPr="008F141F">
        <w:rPr>
          <w:i/>
        </w:rPr>
        <w:t>, Tân Nam</w:t>
      </w:r>
      <w:r w:rsidRPr="008F141F">
        <w:t xml:space="preserve">) và </w:t>
      </w:r>
      <w:r w:rsidRPr="008F141F">
        <w:rPr>
          <w:b/>
        </w:rPr>
        <w:t>UBND huyện Tân Biên</w:t>
      </w:r>
      <w:r w:rsidRPr="008F141F">
        <w:t xml:space="preserve"> (</w:t>
      </w:r>
      <w:r w:rsidRPr="008F141F">
        <w:rPr>
          <w:i/>
        </w:rPr>
        <w:t>tại cửa khẩu chính Chàng Riệc</w:t>
      </w:r>
      <w:r w:rsidRPr="008F141F">
        <w:t xml:space="preserve">) thực </w:t>
      </w:r>
      <w:r w:rsidRPr="008F141F">
        <w:rPr>
          <w:color w:val="000000" w:themeColor="text1"/>
        </w:rPr>
        <w:t>hiện.</w:t>
      </w:r>
    </w:p>
    <w:p w:rsidR="00872684" w:rsidRPr="008F141F" w:rsidRDefault="007439C4" w:rsidP="00C72B7B">
      <w:pPr>
        <w:spacing w:before="120" w:after="120"/>
        <w:ind w:firstLine="720"/>
        <w:jc w:val="both"/>
        <w:rPr>
          <w:b/>
          <w:bCs/>
          <w:lang w:val="vi-VN"/>
        </w:rPr>
      </w:pPr>
      <w:r w:rsidRPr="008F141F">
        <w:rPr>
          <w:b/>
          <w:bCs/>
          <w:lang w:val="en-GB"/>
        </w:rPr>
        <w:t>II</w:t>
      </w:r>
      <w:r w:rsidR="00872684" w:rsidRPr="008F141F">
        <w:rPr>
          <w:b/>
          <w:bCs/>
          <w:lang w:val="vi-VN"/>
        </w:rPr>
        <w:t xml:space="preserve">. </w:t>
      </w:r>
      <w:r w:rsidRPr="008F141F">
        <w:rPr>
          <w:b/>
          <w:bCs/>
          <w:lang w:val="vi-VN"/>
        </w:rPr>
        <w:t xml:space="preserve">KẾT QUẢ </w:t>
      </w:r>
      <w:r w:rsidRPr="008F141F">
        <w:rPr>
          <w:b/>
          <w:bCs/>
          <w:lang w:val="en-GB"/>
        </w:rPr>
        <w:t>TRIỂN KHAI THỰC HIỆN</w:t>
      </w:r>
      <w:r w:rsidRPr="008F141F">
        <w:rPr>
          <w:b/>
          <w:bCs/>
          <w:lang w:val="vi-VN"/>
        </w:rPr>
        <w:t xml:space="preserve"> NGHỊ QUYẾT SỐ 05/2021/NQ-HĐND</w:t>
      </w:r>
    </w:p>
    <w:p w:rsidR="0065798C" w:rsidRPr="008F141F" w:rsidRDefault="007439C4" w:rsidP="007439C4">
      <w:pPr>
        <w:spacing w:before="120" w:after="120"/>
        <w:ind w:firstLine="720"/>
        <w:jc w:val="both"/>
      </w:pPr>
      <w:r w:rsidRPr="008F141F">
        <w:t xml:space="preserve">Từ </w:t>
      </w:r>
      <w:r w:rsidR="00027E5B" w:rsidRPr="008F141F">
        <w:t xml:space="preserve">tháng 8 </w:t>
      </w:r>
      <w:r w:rsidRPr="008F141F">
        <w:t xml:space="preserve">năm 2014, Tây Ninh </w:t>
      </w:r>
      <w:r w:rsidR="00027E5B" w:rsidRPr="008F141F">
        <w:t xml:space="preserve">bắt đầu </w:t>
      </w:r>
      <w:r w:rsidRPr="008F141F">
        <w:t>triển khai thu phí hạ tầng cửa khẩu theo Nghị quyết số 13/2014/NQ-HĐND ngà</w:t>
      </w:r>
      <w:r w:rsidR="00A038C0" w:rsidRPr="008F141F">
        <w:t xml:space="preserve">y 16 tháng 7 năm </w:t>
      </w:r>
      <w:r w:rsidRPr="008F141F">
        <w:t>2014 của Hội đồng nhân dân tỉnh Tây Ninh (</w:t>
      </w:r>
      <w:r w:rsidRPr="008F141F">
        <w:rPr>
          <w:i/>
        </w:rPr>
        <w:t>thu phí cửa khẩu Mộc Bài, Xa Mát</w:t>
      </w:r>
      <w:r w:rsidRPr="008F141F">
        <w:t xml:space="preserve">); điều chỉnh </w:t>
      </w:r>
      <w:r w:rsidR="00C72B7B" w:rsidRPr="008F141F">
        <w:t xml:space="preserve">tại </w:t>
      </w:r>
      <w:r w:rsidRPr="008F141F">
        <w:t xml:space="preserve">Nghị quyết số 37/2016/NQ-HĐND </w:t>
      </w:r>
      <w:r w:rsidR="00A038C0" w:rsidRPr="008F141F">
        <w:t xml:space="preserve">ngày 08 tháng </w:t>
      </w:r>
      <w:r w:rsidRPr="008F141F">
        <w:t>12</w:t>
      </w:r>
      <w:r w:rsidR="00A038C0" w:rsidRPr="008F141F">
        <w:t xml:space="preserve"> năm </w:t>
      </w:r>
      <w:r w:rsidRPr="008F141F">
        <w:t>2016 của Hội đồng nhân dân tỉnh Tây Ninh (</w:t>
      </w:r>
      <w:r w:rsidRPr="008F141F">
        <w:rPr>
          <w:i/>
        </w:rPr>
        <w:t>bổ sung thu phí Chàng Riệc</w:t>
      </w:r>
      <w:r w:rsidR="0065798C" w:rsidRPr="008F141F">
        <w:t>).</w:t>
      </w:r>
    </w:p>
    <w:p w:rsidR="007439C4" w:rsidRPr="008F141F" w:rsidRDefault="007439C4" w:rsidP="007439C4">
      <w:pPr>
        <w:spacing w:before="120" w:after="120"/>
        <w:ind w:firstLine="720"/>
        <w:jc w:val="both"/>
      </w:pPr>
      <w:r w:rsidRPr="008F141F">
        <w:t>Hiện</w:t>
      </w:r>
      <w:r w:rsidR="00C72B7B" w:rsidRPr="008F141F">
        <w:t xml:space="preserve"> nay, việc</w:t>
      </w:r>
      <w:r w:rsidRPr="008F141F">
        <w:t xml:space="preserve"> triển khai thu phí hạ tầng cửa khẩu </w:t>
      </w:r>
      <w:r w:rsidR="00C72B7B" w:rsidRPr="008F141F">
        <w:t xml:space="preserve">trên địa bàn tỉnh Tây Ninh </w:t>
      </w:r>
      <w:r w:rsidRPr="008F141F">
        <w:t>thực hiện theo quy định tại Nghị quyết số</w:t>
      </w:r>
      <w:r w:rsidR="00A038C0" w:rsidRPr="008F141F">
        <w:t xml:space="preserve"> 05/2021/NQ-HĐND </w:t>
      </w:r>
      <w:r w:rsidR="00AC3F17" w:rsidRPr="008F141F">
        <w:t xml:space="preserve">quy </w:t>
      </w:r>
      <w:r w:rsidRPr="008F141F">
        <w:t>định mức thu, chế độ thu, nộp, quản lý và sử dụng phí sử dụng công trình kết cấu hạ tầng đối với phương tiện ra, vào cửa khẩu Mộc Bài, Xa Mát, Chàng Riệc, Tân</w:t>
      </w:r>
      <w:r w:rsidR="00C72B7B" w:rsidRPr="008F141F">
        <w:t xml:space="preserve"> Nam</w:t>
      </w:r>
      <w:r w:rsidRPr="008F141F">
        <w:t>.</w:t>
      </w:r>
    </w:p>
    <w:p w:rsidR="00872684" w:rsidRPr="008F141F" w:rsidRDefault="00872684" w:rsidP="00872684">
      <w:pPr>
        <w:spacing w:beforeLines="60" w:before="144" w:afterLines="60" w:after="144"/>
        <w:ind w:firstLine="720"/>
        <w:jc w:val="both"/>
        <w:rPr>
          <w:b/>
          <w:bCs/>
        </w:rPr>
      </w:pPr>
      <w:r w:rsidRPr="008F141F">
        <w:rPr>
          <w:b/>
          <w:bCs/>
        </w:rPr>
        <w:t xml:space="preserve">1. Kết quả thu phí tại các cửa khẩu </w:t>
      </w:r>
    </w:p>
    <w:p w:rsidR="00872684" w:rsidRPr="008F141F" w:rsidRDefault="00872684" w:rsidP="00872684">
      <w:pPr>
        <w:spacing w:before="120" w:after="120"/>
        <w:ind w:firstLine="709"/>
        <w:jc w:val="both"/>
      </w:pPr>
      <w:r w:rsidRPr="008F141F">
        <w:t xml:space="preserve">Giai đoạn 01/7/2021 - 31/12/2024, tổng thu phí tại 4 cửa khẩu Mộc Bài, Xa Mát, Tân Nam, Chàng Riệc đạt </w:t>
      </w:r>
      <w:r w:rsidRPr="008F141F">
        <w:rPr>
          <w:b/>
        </w:rPr>
        <w:t>1.216.404</w:t>
      </w:r>
      <w:r w:rsidRPr="008F141F">
        <w:t xml:space="preserve"> triệu đồng, bình quân 311.721 triệu đồng/năm, tăng </w:t>
      </w:r>
      <w:r w:rsidRPr="008F141F">
        <w:rPr>
          <w:b/>
        </w:rPr>
        <w:t>13,80%</w:t>
      </w:r>
      <w:r w:rsidRPr="008F141F">
        <w:t xml:space="preserve"> so với giai đoạn 2014-2020 (</w:t>
      </w:r>
      <w:r w:rsidRPr="008F141F">
        <w:rPr>
          <w:b/>
        </w:rPr>
        <w:t>273.929 triệu đồng/năm</w:t>
      </w:r>
      <w:r w:rsidRPr="008F141F">
        <w:t>). Trong đó:</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i/>
          <w:sz w:val="28"/>
          <w:szCs w:val="28"/>
        </w:rPr>
        <w:t>Mộc Bài:</w:t>
      </w:r>
      <w:r w:rsidRPr="008F141F">
        <w:rPr>
          <w:sz w:val="28"/>
          <w:szCs w:val="28"/>
        </w:rPr>
        <w:t xml:space="preserve"> Thu </w:t>
      </w:r>
      <w:r w:rsidRPr="008F141F">
        <w:rPr>
          <w:b/>
          <w:sz w:val="28"/>
          <w:szCs w:val="28"/>
        </w:rPr>
        <w:t>967.171</w:t>
      </w:r>
      <w:r w:rsidRPr="008F141F">
        <w:rPr>
          <w:sz w:val="28"/>
          <w:szCs w:val="28"/>
        </w:rPr>
        <w:t xml:space="preserve"> triệu đồng (</w:t>
      </w:r>
      <w:r w:rsidRPr="008F141F">
        <w:rPr>
          <w:i/>
          <w:sz w:val="28"/>
          <w:szCs w:val="28"/>
        </w:rPr>
        <w:t>chiếm</w:t>
      </w:r>
      <w:r w:rsidRPr="008F141F">
        <w:rPr>
          <w:sz w:val="28"/>
          <w:szCs w:val="28"/>
        </w:rPr>
        <w:t xml:space="preserve"> </w:t>
      </w:r>
      <w:r w:rsidRPr="008F141F">
        <w:rPr>
          <w:b/>
          <w:i/>
          <w:sz w:val="28"/>
          <w:szCs w:val="28"/>
        </w:rPr>
        <w:t>79,50%</w:t>
      </w:r>
      <w:r w:rsidRPr="008F141F">
        <w:rPr>
          <w:i/>
          <w:sz w:val="28"/>
          <w:szCs w:val="28"/>
        </w:rPr>
        <w:t xml:space="preserve"> tổng thu</w:t>
      </w:r>
      <w:r w:rsidRPr="008F141F">
        <w:rPr>
          <w:sz w:val="28"/>
          <w:szCs w:val="28"/>
        </w:rPr>
        <w:t>), tăng 33,43% từ 241.324 triệu đồng (2023) lên 321.996 triệu đồng (2024).</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i/>
          <w:sz w:val="28"/>
          <w:szCs w:val="28"/>
        </w:rPr>
        <w:t>Xa Mát:</w:t>
      </w:r>
      <w:r w:rsidRPr="008F141F">
        <w:rPr>
          <w:sz w:val="28"/>
          <w:szCs w:val="28"/>
        </w:rPr>
        <w:t xml:space="preserve"> Thu </w:t>
      </w:r>
      <w:r w:rsidRPr="008F141F">
        <w:rPr>
          <w:b/>
          <w:sz w:val="28"/>
          <w:szCs w:val="28"/>
        </w:rPr>
        <w:t>114.745</w:t>
      </w:r>
      <w:r w:rsidRPr="008F141F">
        <w:rPr>
          <w:sz w:val="28"/>
          <w:szCs w:val="28"/>
        </w:rPr>
        <w:t xml:space="preserve"> triệu đồng (</w:t>
      </w:r>
      <w:r w:rsidRPr="008F141F">
        <w:rPr>
          <w:i/>
          <w:sz w:val="28"/>
          <w:szCs w:val="28"/>
        </w:rPr>
        <w:t>chiếm</w:t>
      </w:r>
      <w:r w:rsidRPr="008F141F">
        <w:rPr>
          <w:sz w:val="28"/>
          <w:szCs w:val="28"/>
        </w:rPr>
        <w:t xml:space="preserve"> </w:t>
      </w:r>
      <w:r w:rsidRPr="008F141F">
        <w:rPr>
          <w:b/>
          <w:i/>
          <w:sz w:val="28"/>
          <w:szCs w:val="28"/>
        </w:rPr>
        <w:t xml:space="preserve">9,40% </w:t>
      </w:r>
      <w:r w:rsidRPr="008F141F">
        <w:rPr>
          <w:i/>
          <w:sz w:val="28"/>
          <w:szCs w:val="28"/>
        </w:rPr>
        <w:t>tổng thu</w:t>
      </w:r>
      <w:r w:rsidRPr="008F141F">
        <w:rPr>
          <w:sz w:val="28"/>
          <w:szCs w:val="28"/>
        </w:rPr>
        <w:t>), giảm 16,25% từ 29.900 triệu đồng (2023) xuống 25.040 triệu đồng (2024).</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i/>
          <w:sz w:val="28"/>
          <w:szCs w:val="28"/>
        </w:rPr>
        <w:t>Tân Nam:</w:t>
      </w:r>
      <w:r w:rsidRPr="008F141F">
        <w:rPr>
          <w:sz w:val="28"/>
          <w:szCs w:val="28"/>
        </w:rPr>
        <w:t xml:space="preserve"> Thu </w:t>
      </w:r>
      <w:r w:rsidRPr="008F141F">
        <w:rPr>
          <w:b/>
          <w:sz w:val="28"/>
          <w:szCs w:val="28"/>
        </w:rPr>
        <w:t>11.169</w:t>
      </w:r>
      <w:r w:rsidRPr="008F141F">
        <w:rPr>
          <w:sz w:val="28"/>
          <w:szCs w:val="28"/>
        </w:rPr>
        <w:t xml:space="preserve"> triệu đồng (</w:t>
      </w:r>
      <w:r w:rsidRPr="008F141F">
        <w:rPr>
          <w:i/>
          <w:sz w:val="28"/>
          <w:szCs w:val="28"/>
        </w:rPr>
        <w:t>chiếm</w:t>
      </w:r>
      <w:r w:rsidRPr="008F141F">
        <w:rPr>
          <w:sz w:val="28"/>
          <w:szCs w:val="28"/>
        </w:rPr>
        <w:t xml:space="preserve"> </w:t>
      </w:r>
      <w:r w:rsidRPr="008F141F">
        <w:rPr>
          <w:b/>
          <w:i/>
          <w:sz w:val="28"/>
          <w:szCs w:val="28"/>
        </w:rPr>
        <w:t>0,90%</w:t>
      </w:r>
      <w:r w:rsidRPr="008F141F">
        <w:rPr>
          <w:sz w:val="28"/>
          <w:szCs w:val="28"/>
        </w:rPr>
        <w:t xml:space="preserve"> tổng thu), tăng 5,93% từ 3.779 triệu đồng (2023) lên 4.003 triệu đồng (2024).</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i/>
          <w:sz w:val="28"/>
          <w:szCs w:val="28"/>
        </w:rPr>
        <w:t>Chàng Riệc:</w:t>
      </w:r>
      <w:r w:rsidRPr="008F141F">
        <w:rPr>
          <w:sz w:val="28"/>
          <w:szCs w:val="28"/>
        </w:rPr>
        <w:t xml:space="preserve"> Thu </w:t>
      </w:r>
      <w:r w:rsidRPr="008F141F">
        <w:rPr>
          <w:b/>
          <w:sz w:val="28"/>
          <w:szCs w:val="28"/>
        </w:rPr>
        <w:t>123.319</w:t>
      </w:r>
      <w:r w:rsidRPr="008F141F">
        <w:rPr>
          <w:sz w:val="28"/>
          <w:szCs w:val="28"/>
        </w:rPr>
        <w:t xml:space="preserve"> triệu đồng (</w:t>
      </w:r>
      <w:r w:rsidRPr="008F141F">
        <w:rPr>
          <w:i/>
          <w:sz w:val="28"/>
          <w:szCs w:val="28"/>
        </w:rPr>
        <w:t>chiếm</w:t>
      </w:r>
      <w:r w:rsidRPr="008F141F">
        <w:rPr>
          <w:sz w:val="28"/>
          <w:szCs w:val="28"/>
        </w:rPr>
        <w:t xml:space="preserve"> </w:t>
      </w:r>
      <w:r w:rsidRPr="008F141F">
        <w:rPr>
          <w:b/>
          <w:i/>
          <w:sz w:val="28"/>
          <w:szCs w:val="28"/>
        </w:rPr>
        <w:t>10,10%</w:t>
      </w:r>
      <w:r w:rsidRPr="008F141F">
        <w:rPr>
          <w:b/>
          <w:sz w:val="28"/>
          <w:szCs w:val="28"/>
        </w:rPr>
        <w:t xml:space="preserve"> </w:t>
      </w:r>
      <w:r w:rsidRPr="008F141F">
        <w:rPr>
          <w:i/>
          <w:sz w:val="28"/>
          <w:szCs w:val="28"/>
        </w:rPr>
        <w:t>tổng thu</w:t>
      </w:r>
      <w:r w:rsidRPr="008F141F">
        <w:rPr>
          <w:sz w:val="28"/>
          <w:szCs w:val="28"/>
        </w:rPr>
        <w:t>), tăng 3,97% từ 33.706 triệu đồng (2023) lên 35.045 triệu đồng (2024).</w:t>
      </w:r>
    </w:p>
    <w:p w:rsidR="00872684" w:rsidRPr="008F141F" w:rsidRDefault="00872684" w:rsidP="00872684">
      <w:pPr>
        <w:spacing w:before="120" w:after="120"/>
        <w:ind w:firstLine="720"/>
        <w:jc w:val="both"/>
      </w:pPr>
      <w:r w:rsidRPr="008F141F">
        <w:t>Về tổng nguồn thu các cửa khẩu thì nguồn thu chủ yếu từ Mộc Bài (</w:t>
      </w:r>
      <w:r w:rsidRPr="008F141F">
        <w:rPr>
          <w:b/>
          <w:i/>
        </w:rPr>
        <w:t xml:space="preserve">79,5%, </w:t>
      </w:r>
      <w:r w:rsidRPr="008F141F">
        <w:rPr>
          <w:i/>
        </w:rPr>
        <w:t xml:space="preserve">trong đó từ xe quá cảnh chiếm </w:t>
      </w:r>
      <w:r w:rsidRPr="008F141F">
        <w:rPr>
          <w:b/>
          <w:i/>
        </w:rPr>
        <w:t>88,5%</w:t>
      </w:r>
      <w:r w:rsidRPr="008F141F">
        <w:rPr>
          <w:i/>
        </w:rPr>
        <w:t xml:space="preserve"> tổng thu Mộc Bài).</w:t>
      </w:r>
      <w:r w:rsidRPr="008F141F">
        <w:t xml:space="preserve"> </w:t>
      </w:r>
    </w:p>
    <w:p w:rsidR="00872684" w:rsidRPr="008F141F" w:rsidRDefault="00872684" w:rsidP="00872684">
      <w:pPr>
        <w:spacing w:before="120" w:after="120"/>
        <w:ind w:firstLine="720"/>
        <w:jc w:val="both"/>
        <w:rPr>
          <w:b/>
          <w:i/>
        </w:rPr>
      </w:pPr>
      <w:r w:rsidRPr="008F141F">
        <w:rPr>
          <w:bCs/>
        </w:rPr>
        <w:t xml:space="preserve">Lũy kế công tác thu phí từ khi triển khai công tác thu giai đoạn </w:t>
      </w:r>
      <w:r w:rsidR="00027E5B" w:rsidRPr="008F141F">
        <w:rPr>
          <w:bCs/>
        </w:rPr>
        <w:t>8/</w:t>
      </w:r>
      <w:r w:rsidRPr="008F141F">
        <w:rPr>
          <w:bCs/>
        </w:rPr>
        <w:t xml:space="preserve">2014 - 2024 tại các cửa khẩu: </w:t>
      </w:r>
      <w:r w:rsidRPr="008F141F">
        <w:t xml:space="preserve">lũy kế từ năm 2014 đến nay thu nộp ngân sách trên </w:t>
      </w:r>
      <w:r w:rsidRPr="008F141F">
        <w:rPr>
          <w:b/>
        </w:rPr>
        <w:t>2.880.691</w:t>
      </w:r>
      <w:r w:rsidRPr="008F141F">
        <w:t xml:space="preserve"> </w:t>
      </w:r>
      <w:r w:rsidR="00685B06" w:rsidRPr="008F141F">
        <w:t>triệu</w:t>
      </w:r>
      <w:r w:rsidRPr="008F141F">
        <w:t xml:space="preserve"> đồng, bình quân mỗi năm trên </w:t>
      </w:r>
      <w:r w:rsidRPr="008F141F">
        <w:rPr>
          <w:b/>
        </w:rPr>
        <w:t>274.351</w:t>
      </w:r>
      <w:r w:rsidRPr="008F141F">
        <w:t xml:space="preserve"> </w:t>
      </w:r>
      <w:r w:rsidR="00685B06" w:rsidRPr="008F141F">
        <w:t xml:space="preserve">triệu </w:t>
      </w:r>
      <w:r w:rsidRPr="008F141F">
        <w:t>đồng.</w:t>
      </w:r>
    </w:p>
    <w:p w:rsidR="00872684" w:rsidRPr="008F141F" w:rsidRDefault="00872684" w:rsidP="00872684">
      <w:pPr>
        <w:spacing w:beforeLines="60" w:before="144" w:afterLines="60" w:after="144"/>
        <w:jc w:val="center"/>
        <w:rPr>
          <w:bCs/>
          <w:i/>
        </w:rPr>
      </w:pPr>
      <w:r w:rsidRPr="008F141F">
        <w:rPr>
          <w:bCs/>
        </w:rPr>
        <w:lastRenderedPageBreak/>
        <w:t>(</w:t>
      </w:r>
      <w:r w:rsidR="0012325E" w:rsidRPr="008F141F">
        <w:rPr>
          <w:bCs/>
          <w:i/>
        </w:rPr>
        <w:t xml:space="preserve">đính </w:t>
      </w:r>
      <w:r w:rsidRPr="008F141F">
        <w:rPr>
          <w:bCs/>
          <w:i/>
        </w:rPr>
        <w:t>kèm phụ lục 1, 2)</w:t>
      </w:r>
    </w:p>
    <w:p w:rsidR="00872684" w:rsidRPr="008F141F" w:rsidRDefault="00872684" w:rsidP="00872684">
      <w:pPr>
        <w:spacing w:before="120" w:after="120"/>
        <w:ind w:firstLine="720"/>
        <w:jc w:val="both"/>
        <w:rPr>
          <w:b/>
        </w:rPr>
      </w:pPr>
      <w:r w:rsidRPr="008F141F">
        <w:rPr>
          <w:b/>
        </w:rPr>
        <w:t>2. Kết quả mức thu, tỷ lệ phần trăm để lại cho đơn vị thu phí</w:t>
      </w:r>
    </w:p>
    <w:p w:rsidR="00872684" w:rsidRPr="008F141F" w:rsidRDefault="00872684" w:rsidP="00872684">
      <w:pPr>
        <w:spacing w:before="120" w:after="120"/>
        <w:ind w:firstLine="720"/>
        <w:jc w:val="both"/>
      </w:pPr>
      <w:r w:rsidRPr="008F141F">
        <w:t xml:space="preserve">Trên cơ sở mức thu từng cửa khẩu và áp dụng tỷ lệ để lại theo Nghị quyết số 05/2021/NQ-HĐND: Tổng số để lại giai đoạn 01/7/2021-2024 là </w:t>
      </w:r>
      <w:r w:rsidRPr="008F141F">
        <w:rPr>
          <w:b/>
        </w:rPr>
        <w:t>56.086</w:t>
      </w:r>
      <w:r w:rsidRPr="008F141F">
        <w:t xml:space="preserve"> triệu đồng cụ thể:</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Mộc Bài: 3% (29.015 triệu đồng).</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Xa Mát: 11% (12.622 triệu đồng).</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Tân Nam: 30% (3.351 triệu đồng).</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Chàng Riệc: 9% (11.099 triệu đồng).</w:t>
      </w:r>
    </w:p>
    <w:p w:rsidR="00872684" w:rsidRPr="008F141F" w:rsidRDefault="00872684" w:rsidP="00872684">
      <w:pPr>
        <w:spacing w:before="120" w:after="120"/>
        <w:ind w:firstLine="720"/>
        <w:jc w:val="both"/>
        <w:rPr>
          <w:b/>
        </w:rPr>
      </w:pPr>
      <w:r w:rsidRPr="008F141F">
        <w:rPr>
          <w:b/>
        </w:rPr>
        <w:t>3. Công tác quản lý, sử dụng nguồn thu phí</w:t>
      </w:r>
    </w:p>
    <w:p w:rsidR="00872684" w:rsidRPr="008F141F" w:rsidRDefault="00872684" w:rsidP="00872684">
      <w:pPr>
        <w:spacing w:before="120" w:after="120"/>
        <w:ind w:firstLine="720"/>
        <w:jc w:val="both"/>
      </w:pPr>
      <w:r w:rsidRPr="008F141F">
        <w:t xml:space="preserve">Tổng thu </w:t>
      </w:r>
      <w:r w:rsidRPr="008F141F">
        <w:rPr>
          <w:b/>
        </w:rPr>
        <w:t>1.216.404</w:t>
      </w:r>
      <w:r w:rsidRPr="008F141F">
        <w:t xml:space="preserve"> triệu đồng, nộp ngân sách </w:t>
      </w:r>
      <w:r w:rsidRPr="008F141F">
        <w:rPr>
          <w:b/>
        </w:rPr>
        <w:t>1.160.318</w:t>
      </w:r>
      <w:r w:rsidRPr="008F141F">
        <w:t xml:space="preserve"> triệu đồng (</w:t>
      </w:r>
      <w:r w:rsidRPr="008F141F">
        <w:rPr>
          <w:b/>
          <w:i/>
        </w:rPr>
        <w:t xml:space="preserve">95,4% </w:t>
      </w:r>
      <w:r w:rsidRPr="008F141F">
        <w:rPr>
          <w:i/>
        </w:rPr>
        <w:t>tổng nguồn thu</w:t>
      </w:r>
      <w:r w:rsidRPr="008F141F">
        <w:t xml:space="preserve">), để lại </w:t>
      </w:r>
      <w:r w:rsidRPr="008F141F">
        <w:rPr>
          <w:b/>
        </w:rPr>
        <w:t>56.086</w:t>
      </w:r>
      <w:r w:rsidRPr="008F141F">
        <w:t xml:space="preserve"> triệu đồng. Chi hoạt động bình quân 8-9 tỷ đồng/năm, chủ yếu cho lương, vận hành (điện, nước</w:t>
      </w:r>
      <w:r w:rsidR="00533C16" w:rsidRPr="008F141F">
        <w:t xml:space="preserve">, </w:t>
      </w:r>
      <w:r w:rsidR="00F65B04" w:rsidRPr="008F141F">
        <w:t>văn phòng phẩm,</w:t>
      </w:r>
      <w:r w:rsidR="0087215D" w:rsidRPr="008F141F">
        <w:t xml:space="preserve"> bảo hiểm phòng cháy chữa cháy,…</w:t>
      </w:r>
      <w:r w:rsidRPr="008F141F">
        <w:t xml:space="preserve">), bảo trì hạ tầng. </w:t>
      </w:r>
    </w:p>
    <w:p w:rsidR="00872684" w:rsidRPr="008F141F" w:rsidRDefault="00685B06" w:rsidP="00872684">
      <w:pPr>
        <w:spacing w:before="120" w:after="120"/>
        <w:jc w:val="center"/>
        <w:rPr>
          <w:i/>
          <w:color w:val="000000" w:themeColor="text1"/>
        </w:rPr>
      </w:pPr>
      <w:r w:rsidRPr="008F141F">
        <w:rPr>
          <w:i/>
          <w:color w:val="000000" w:themeColor="text1"/>
        </w:rPr>
        <w:t xml:space="preserve"> </w:t>
      </w:r>
      <w:r w:rsidR="00872684" w:rsidRPr="008F141F">
        <w:rPr>
          <w:i/>
          <w:color w:val="000000" w:themeColor="text1"/>
        </w:rPr>
        <w:t>(</w:t>
      </w:r>
      <w:r w:rsidR="0012325E" w:rsidRPr="008F141F">
        <w:rPr>
          <w:i/>
          <w:color w:val="000000" w:themeColor="text1"/>
        </w:rPr>
        <w:t xml:space="preserve">đính </w:t>
      </w:r>
      <w:r w:rsidR="00872684" w:rsidRPr="008F141F">
        <w:rPr>
          <w:i/>
          <w:color w:val="000000" w:themeColor="text1"/>
        </w:rPr>
        <w:t>kèm Phụ lục 2)</w:t>
      </w:r>
    </w:p>
    <w:p w:rsidR="00872684" w:rsidRPr="008F141F" w:rsidRDefault="00885A92" w:rsidP="00872684">
      <w:pPr>
        <w:spacing w:before="120" w:after="120"/>
        <w:ind w:firstLine="720"/>
        <w:jc w:val="both"/>
        <w:rPr>
          <w:b/>
          <w:color w:val="000000" w:themeColor="text1"/>
        </w:rPr>
      </w:pPr>
      <w:r w:rsidRPr="008F141F">
        <w:rPr>
          <w:b/>
          <w:color w:val="000000" w:themeColor="text1"/>
        </w:rPr>
        <w:t>III. THỰC TRẠNG THU PHÍ SỬ DỤNG CÔNG TRÌNH KẾT CẤU HẠ TẦNG ĐỐI VỚI PHƯƠNG TIỆN RA, VÀO CỬA KHẨU TRÊN ĐỊA BÀN TỈNH TÂY NINH VỚI CÁC ĐỊA PHƯƠNG LÂN CẬN (</w:t>
      </w:r>
      <w:r w:rsidRPr="008F141F">
        <w:rPr>
          <w:b/>
          <w:i/>
          <w:color w:val="000000" w:themeColor="text1"/>
        </w:rPr>
        <w:t>LONG AN VÀ BÌNH PHƯỚC</w:t>
      </w:r>
      <w:r w:rsidRPr="008F141F">
        <w:rPr>
          <w:b/>
          <w:color w:val="000000" w:themeColor="text1"/>
        </w:rPr>
        <w:t>)</w:t>
      </w:r>
    </w:p>
    <w:p w:rsidR="00885A92" w:rsidRPr="008F141F" w:rsidRDefault="00872684" w:rsidP="00872684">
      <w:pPr>
        <w:spacing w:beforeLines="60" w:before="144" w:afterLines="60" w:after="144"/>
        <w:ind w:firstLine="720"/>
        <w:jc w:val="both"/>
        <w:rPr>
          <w:b/>
          <w:bCs/>
        </w:rPr>
      </w:pPr>
      <w:r w:rsidRPr="008F141F">
        <w:rPr>
          <w:b/>
          <w:bCs/>
        </w:rPr>
        <w:t>1. Mức thu phí sử dụng công trình kết cấu hạ tầng đối với phương ti</w:t>
      </w:r>
      <w:r w:rsidR="00C332C9" w:rsidRPr="008F141F">
        <w:rPr>
          <w:b/>
          <w:bCs/>
        </w:rPr>
        <w:t>ện ra, vào khu vực cửa khẩu</w:t>
      </w:r>
    </w:p>
    <w:p w:rsidR="00872684" w:rsidRPr="008F141F" w:rsidRDefault="00583FDF" w:rsidP="00872684">
      <w:pPr>
        <w:spacing w:beforeLines="60" w:before="144" w:afterLines="60" w:after="144"/>
        <w:ind w:firstLine="720"/>
        <w:jc w:val="both"/>
        <w:rPr>
          <w:bCs/>
          <w:i/>
        </w:rPr>
      </w:pPr>
      <w:r w:rsidRPr="008F141F">
        <w:rPr>
          <w:b/>
          <w:bCs/>
        </w:rPr>
        <w:t>a</w:t>
      </w:r>
      <w:r w:rsidR="00872684" w:rsidRPr="008F141F">
        <w:rPr>
          <w:b/>
          <w:bCs/>
        </w:rPr>
        <w:t xml:space="preserve">. </w:t>
      </w:r>
      <w:r w:rsidR="00885A92" w:rsidRPr="008F141F">
        <w:rPr>
          <w:b/>
          <w:bCs/>
        </w:rPr>
        <w:t>Về m</w:t>
      </w:r>
      <w:r w:rsidR="00872684" w:rsidRPr="008F141F">
        <w:rPr>
          <w:b/>
          <w:bCs/>
        </w:rPr>
        <w:t>ức thu</w:t>
      </w:r>
    </w:p>
    <w:p w:rsidR="00872684" w:rsidRPr="008F141F" w:rsidRDefault="00872684" w:rsidP="00872684">
      <w:pPr>
        <w:spacing w:before="120" w:after="120"/>
        <w:ind w:firstLine="720"/>
        <w:jc w:val="both"/>
      </w:pPr>
      <w:r w:rsidRPr="008F141F">
        <w:t xml:space="preserve">Xe tải trên 18 tấn xuất nhập khẩu (XNK): Tây Ninh 500.000 đồng/lượt, cao gấp </w:t>
      </w:r>
      <w:r w:rsidRPr="008F141F">
        <w:rPr>
          <w:b/>
        </w:rPr>
        <w:t>3,33</w:t>
      </w:r>
      <w:r w:rsidRPr="008F141F">
        <w:t xml:space="preserve"> lần Long An (</w:t>
      </w:r>
      <w:r w:rsidRPr="008F141F">
        <w:rPr>
          <w:i/>
        </w:rPr>
        <w:t>150.000 đồng</w:t>
      </w:r>
      <w:r w:rsidR="00C332C9" w:rsidRPr="008F141F">
        <w:rPr>
          <w:i/>
        </w:rPr>
        <w:t>/lượt</w:t>
      </w:r>
      <w:r w:rsidRPr="008F141F">
        <w:t xml:space="preserve">) và </w:t>
      </w:r>
      <w:r w:rsidRPr="008F141F">
        <w:rPr>
          <w:b/>
        </w:rPr>
        <w:t>1,67</w:t>
      </w:r>
      <w:r w:rsidRPr="008F141F">
        <w:t xml:space="preserve"> lần Bình Phước (</w:t>
      </w:r>
      <w:r w:rsidRPr="008F141F">
        <w:rPr>
          <w:i/>
        </w:rPr>
        <w:t>300.000 đồng</w:t>
      </w:r>
      <w:r w:rsidR="00C332C9" w:rsidRPr="008F141F">
        <w:rPr>
          <w:i/>
        </w:rPr>
        <w:t>/lượt</w:t>
      </w:r>
      <w:r w:rsidRPr="008F141F">
        <w:t>).</w:t>
      </w:r>
    </w:p>
    <w:p w:rsidR="00872684" w:rsidRPr="008F141F" w:rsidRDefault="00872684" w:rsidP="00872684">
      <w:pPr>
        <w:spacing w:before="120" w:after="120"/>
        <w:ind w:firstLine="720"/>
        <w:jc w:val="both"/>
      </w:pPr>
      <w:r w:rsidRPr="008F141F">
        <w:t xml:space="preserve">Xe quá cảnh: Tây Ninh 2.500,000 đồng/lượt, cao gấp </w:t>
      </w:r>
      <w:r w:rsidRPr="008F141F">
        <w:rPr>
          <w:b/>
        </w:rPr>
        <w:t>3,33</w:t>
      </w:r>
      <w:r w:rsidRPr="008F141F">
        <w:t xml:space="preserve"> lần Long An (</w:t>
      </w:r>
      <w:r w:rsidRPr="008F141F">
        <w:rPr>
          <w:i/>
        </w:rPr>
        <w:t>750.000 đồng</w:t>
      </w:r>
      <w:r w:rsidR="00C332C9" w:rsidRPr="008F141F">
        <w:rPr>
          <w:i/>
        </w:rPr>
        <w:t>/lượt</w:t>
      </w:r>
      <w:r w:rsidRPr="008F141F">
        <w:t xml:space="preserve">) và </w:t>
      </w:r>
      <w:r w:rsidRPr="008F141F">
        <w:rPr>
          <w:b/>
        </w:rPr>
        <w:t>8,33</w:t>
      </w:r>
      <w:r w:rsidRPr="008F141F">
        <w:t xml:space="preserve"> lần Bình Phước (</w:t>
      </w:r>
      <w:r w:rsidRPr="008F141F">
        <w:rPr>
          <w:i/>
        </w:rPr>
        <w:t>300.000 đồng</w:t>
      </w:r>
      <w:r w:rsidR="00C332C9" w:rsidRPr="008F141F">
        <w:rPr>
          <w:i/>
        </w:rPr>
        <w:t>/lượt</w:t>
      </w:r>
      <w:r w:rsidRPr="008F141F">
        <w:t>).</w:t>
      </w:r>
    </w:p>
    <w:p w:rsidR="00872684" w:rsidRPr="008F141F" w:rsidRDefault="00583FDF" w:rsidP="00872684">
      <w:pPr>
        <w:spacing w:before="120" w:after="120"/>
        <w:ind w:firstLine="720"/>
        <w:jc w:val="both"/>
        <w:rPr>
          <w:b/>
        </w:rPr>
      </w:pPr>
      <w:r w:rsidRPr="008F141F">
        <w:rPr>
          <w:b/>
        </w:rPr>
        <w:t>b.</w:t>
      </w:r>
      <w:r w:rsidR="00872684" w:rsidRPr="008F141F">
        <w:rPr>
          <w:b/>
        </w:rPr>
        <w:t xml:space="preserve"> </w:t>
      </w:r>
      <w:r w:rsidR="00885A92" w:rsidRPr="008F141F">
        <w:rPr>
          <w:b/>
        </w:rPr>
        <w:t>Về s</w:t>
      </w:r>
      <w:r w:rsidR="00872684" w:rsidRPr="008F141F">
        <w:rPr>
          <w:b/>
        </w:rPr>
        <w:t>ố thu</w:t>
      </w:r>
    </w:p>
    <w:p w:rsidR="00872684" w:rsidRPr="008F141F" w:rsidRDefault="00872684" w:rsidP="00872684">
      <w:pPr>
        <w:spacing w:before="120" w:after="120"/>
        <w:ind w:firstLine="720"/>
        <w:jc w:val="both"/>
      </w:pPr>
      <w:r w:rsidRPr="008F141F">
        <w:t xml:space="preserve">Số thu tại Tây Ninh tăng đều qua các giai đoạn: bình quân </w:t>
      </w:r>
      <w:r w:rsidRPr="008F141F">
        <w:rPr>
          <w:b/>
        </w:rPr>
        <w:t xml:space="preserve">273.929 </w:t>
      </w:r>
      <w:r w:rsidRPr="008F141F">
        <w:t xml:space="preserve">triệu đồng/năm (2014-2020) và tăng lên </w:t>
      </w:r>
      <w:r w:rsidRPr="008F141F">
        <w:rPr>
          <w:b/>
        </w:rPr>
        <w:t>311.721</w:t>
      </w:r>
      <w:r w:rsidRPr="008F141F">
        <w:t xml:space="preserve"> triệu đồng/năm (2021-2024), tăng </w:t>
      </w:r>
      <w:r w:rsidRPr="008F141F">
        <w:rPr>
          <w:b/>
        </w:rPr>
        <w:t>13,8%.</w:t>
      </w:r>
      <w:r w:rsidRPr="008F141F">
        <w:t xml:space="preserve"> </w:t>
      </w:r>
    </w:p>
    <w:p w:rsidR="00872684" w:rsidRPr="008F141F" w:rsidRDefault="00872684" w:rsidP="00872684">
      <w:pPr>
        <w:spacing w:before="120" w:after="120"/>
        <w:ind w:firstLine="720"/>
        <w:jc w:val="both"/>
        <w:rPr>
          <w:lang w:val="en-GB"/>
        </w:rPr>
      </w:pPr>
      <w:r w:rsidRPr="008F141F">
        <w:t xml:space="preserve">Riêng giai đoạn thực hiện Nghị quyết số 05/2021/NQ-HĐND (2021-2024), tổng thu đạt </w:t>
      </w:r>
      <w:r w:rsidRPr="008F141F">
        <w:rPr>
          <w:b/>
        </w:rPr>
        <w:t>1.216.404</w:t>
      </w:r>
      <w:r w:rsidRPr="008F141F">
        <w:t xml:space="preserve"> triệu đồng </w:t>
      </w:r>
      <w:r w:rsidRPr="008F141F">
        <w:rPr>
          <w:i/>
        </w:rPr>
        <w:t xml:space="preserve">(trong đó </w:t>
      </w:r>
      <w:r w:rsidRPr="008F141F">
        <w:rPr>
          <w:b/>
          <w:i/>
        </w:rPr>
        <w:t>917.748</w:t>
      </w:r>
      <w:r w:rsidRPr="008F141F">
        <w:rPr>
          <w:i/>
        </w:rPr>
        <w:t xml:space="preserve"> triệu đồng (</w:t>
      </w:r>
      <w:r w:rsidRPr="008F141F">
        <w:rPr>
          <w:b/>
          <w:i/>
        </w:rPr>
        <w:t>chiếm 75,4%</w:t>
      </w:r>
      <w:r w:rsidRPr="008F141F">
        <w:rPr>
          <w:i/>
        </w:rPr>
        <w:t>) từ xe quá cảnh</w:t>
      </w:r>
      <w:r w:rsidRPr="008F141F">
        <w:t>), khẳng định nguồn thu chủ lực từ hoạt động này.</w:t>
      </w:r>
      <w:r w:rsidRPr="008F141F">
        <w:rPr>
          <w:lang w:val="en-GB"/>
        </w:rPr>
        <w:t xml:space="preserve"> </w:t>
      </w:r>
    </w:p>
    <w:p w:rsidR="00872684" w:rsidRPr="008F141F" w:rsidRDefault="00583FDF" w:rsidP="00872684">
      <w:pPr>
        <w:spacing w:before="120" w:after="120"/>
        <w:ind w:firstLine="720"/>
        <w:jc w:val="both"/>
        <w:rPr>
          <w:b/>
          <w:lang w:val="en-GB"/>
        </w:rPr>
      </w:pPr>
      <w:r w:rsidRPr="008F141F">
        <w:rPr>
          <w:b/>
          <w:lang w:val="en-GB"/>
        </w:rPr>
        <w:t>c</w:t>
      </w:r>
      <w:r w:rsidR="00872684" w:rsidRPr="008F141F">
        <w:rPr>
          <w:b/>
          <w:lang w:val="en-GB"/>
        </w:rPr>
        <w:t>. Về c</w:t>
      </w:r>
      <w:r w:rsidR="00872684" w:rsidRPr="008F141F">
        <w:rPr>
          <w:b/>
          <w:bCs/>
          <w:lang w:val="en-GB"/>
        </w:rPr>
        <w:t>ấu trúc nguồn thu</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lastRenderedPageBreak/>
        <w:t xml:space="preserve">Cửa khẩu Mộc Bài đóng góp lớn nhất với </w:t>
      </w:r>
      <w:r w:rsidRPr="008F141F">
        <w:rPr>
          <w:b/>
          <w:sz w:val="28"/>
          <w:szCs w:val="28"/>
        </w:rPr>
        <w:t>967.171</w:t>
      </w:r>
      <w:r w:rsidRPr="008F141F">
        <w:rPr>
          <w:sz w:val="28"/>
          <w:szCs w:val="28"/>
        </w:rPr>
        <w:t xml:space="preserve"> triệu đồng (</w:t>
      </w:r>
      <w:r w:rsidRPr="008F141F">
        <w:rPr>
          <w:i/>
          <w:sz w:val="28"/>
          <w:szCs w:val="28"/>
        </w:rPr>
        <w:t>79,5% tổng thu</w:t>
      </w:r>
      <w:r w:rsidRPr="008F141F">
        <w:rPr>
          <w:sz w:val="28"/>
          <w:szCs w:val="28"/>
        </w:rPr>
        <w:t>), chủ yếu từ xe quá cảnh (</w:t>
      </w:r>
      <w:r w:rsidRPr="008F141F">
        <w:rPr>
          <w:b/>
          <w:i/>
          <w:sz w:val="28"/>
          <w:szCs w:val="28"/>
        </w:rPr>
        <w:t>88,5%</w:t>
      </w:r>
      <w:r w:rsidRPr="008F141F">
        <w:rPr>
          <w:i/>
          <w:sz w:val="28"/>
          <w:szCs w:val="28"/>
        </w:rPr>
        <w:t xml:space="preserve"> tổng thu Mộc Bài</w:t>
      </w:r>
      <w:r w:rsidRPr="008F141F">
        <w:rPr>
          <w:sz w:val="28"/>
          <w:szCs w:val="28"/>
        </w:rPr>
        <w:t>).</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 xml:space="preserve">Các cửa khẩu còn lại có tỷ trọng thu thấp hơn, trong đó Chàng Riệc </w:t>
      </w:r>
      <w:r w:rsidRPr="008F141F">
        <w:rPr>
          <w:b/>
          <w:sz w:val="28"/>
          <w:szCs w:val="28"/>
        </w:rPr>
        <w:t>10,1%</w:t>
      </w:r>
      <w:r w:rsidRPr="008F141F">
        <w:rPr>
          <w:sz w:val="28"/>
          <w:szCs w:val="28"/>
        </w:rPr>
        <w:t xml:space="preserve">,  Xa Mát chiếm </w:t>
      </w:r>
      <w:r w:rsidRPr="008F141F">
        <w:rPr>
          <w:b/>
          <w:sz w:val="28"/>
          <w:szCs w:val="28"/>
        </w:rPr>
        <w:t>9,4%</w:t>
      </w:r>
      <w:r w:rsidRPr="008F141F">
        <w:rPr>
          <w:sz w:val="28"/>
          <w:szCs w:val="28"/>
        </w:rPr>
        <w:t xml:space="preserve">, Tân Nam </w:t>
      </w:r>
      <w:r w:rsidRPr="008F141F">
        <w:rPr>
          <w:b/>
          <w:sz w:val="28"/>
          <w:szCs w:val="28"/>
        </w:rPr>
        <w:t>0,9%.</w:t>
      </w:r>
    </w:p>
    <w:p w:rsidR="00872684" w:rsidRPr="008F141F" w:rsidRDefault="00872684" w:rsidP="00872684">
      <w:pPr>
        <w:spacing w:before="120" w:after="120"/>
        <w:jc w:val="both"/>
      </w:pPr>
      <w:r w:rsidRPr="008F141F">
        <w:tab/>
      </w:r>
      <w:r w:rsidRPr="008F141F">
        <w:rPr>
          <w:i/>
        </w:rPr>
        <w:t>So với các tỉnh lân cận, số thu tại Tây Ninh tăng nhiều lần so với các địa phương khác</w:t>
      </w:r>
      <w:r w:rsidRPr="008F141F">
        <w:t>. Cụ thể:</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Tây Ninh - Bình Phước (</w:t>
      </w:r>
      <w:r w:rsidRPr="008F141F">
        <w:rPr>
          <w:i/>
          <w:sz w:val="28"/>
          <w:szCs w:val="28"/>
        </w:rPr>
        <w:t>2022-2024</w:t>
      </w:r>
      <w:r w:rsidRPr="008F141F">
        <w:rPr>
          <w:sz w:val="28"/>
          <w:szCs w:val="28"/>
        </w:rPr>
        <w:t xml:space="preserve">): 1.069.851 / 43.008 = </w:t>
      </w:r>
      <w:r w:rsidRPr="008F141F">
        <w:rPr>
          <w:b/>
          <w:sz w:val="28"/>
          <w:szCs w:val="28"/>
        </w:rPr>
        <w:t>24,87</w:t>
      </w:r>
      <w:r w:rsidRPr="008F141F">
        <w:rPr>
          <w:sz w:val="28"/>
          <w:szCs w:val="28"/>
        </w:rPr>
        <w:t xml:space="preserve"> lần.</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Tây Ninh - Long An (</w:t>
      </w:r>
      <w:r w:rsidRPr="008F141F">
        <w:rPr>
          <w:i/>
          <w:sz w:val="28"/>
          <w:szCs w:val="28"/>
        </w:rPr>
        <w:t>2023-2024</w:t>
      </w:r>
      <w:r w:rsidRPr="008F141F">
        <w:rPr>
          <w:sz w:val="28"/>
          <w:szCs w:val="28"/>
        </w:rPr>
        <w:t xml:space="preserve">): (308.709 + 386.084) / 26.401 = </w:t>
      </w:r>
      <w:r w:rsidRPr="008F141F">
        <w:rPr>
          <w:b/>
          <w:sz w:val="28"/>
          <w:szCs w:val="28"/>
        </w:rPr>
        <w:t>26,31</w:t>
      </w:r>
      <w:r w:rsidRPr="008F141F">
        <w:rPr>
          <w:sz w:val="28"/>
          <w:szCs w:val="28"/>
        </w:rPr>
        <w:t xml:space="preserve"> lần.</w:t>
      </w:r>
    </w:p>
    <w:p w:rsidR="00872684" w:rsidRPr="008F141F" w:rsidRDefault="00872684" w:rsidP="00872684">
      <w:pPr>
        <w:keepNext/>
        <w:spacing w:beforeLines="60" w:before="144" w:afterLines="60" w:after="144"/>
        <w:ind w:firstLine="720"/>
        <w:jc w:val="center"/>
        <w:rPr>
          <w:i/>
        </w:rPr>
      </w:pPr>
      <w:r w:rsidRPr="008F141F">
        <w:rPr>
          <w:i/>
        </w:rPr>
        <w:t>(</w:t>
      </w:r>
      <w:r w:rsidR="0012325E" w:rsidRPr="008F141F">
        <w:rPr>
          <w:i/>
        </w:rPr>
        <w:t xml:space="preserve">đính </w:t>
      </w:r>
      <w:r w:rsidRPr="008F141F">
        <w:rPr>
          <w:i/>
        </w:rPr>
        <w:t>kèm tại Phụ lục 2, 3)</w:t>
      </w:r>
    </w:p>
    <w:p w:rsidR="00872684" w:rsidRPr="008F141F" w:rsidRDefault="00872684" w:rsidP="00885A92">
      <w:pPr>
        <w:spacing w:before="120" w:after="120"/>
        <w:ind w:firstLine="720"/>
        <w:jc w:val="both"/>
        <w:rPr>
          <w:b/>
          <w:lang w:val="en-GB"/>
        </w:rPr>
      </w:pPr>
      <w:r w:rsidRPr="008F141F">
        <w:rPr>
          <w:b/>
          <w:lang w:val="en-GB"/>
        </w:rPr>
        <w:t xml:space="preserve">2. </w:t>
      </w:r>
      <w:r w:rsidR="00885A92" w:rsidRPr="008F141F">
        <w:rPr>
          <w:b/>
          <w:lang w:val="en-GB"/>
        </w:rPr>
        <w:t>Thực trạng</w:t>
      </w:r>
      <w:r w:rsidRPr="008F141F">
        <w:rPr>
          <w:b/>
          <w:lang w:val="en-GB"/>
        </w:rPr>
        <w:t xml:space="preserve"> lượng phương tiện qua lại cửa khẩu </w:t>
      </w:r>
    </w:p>
    <w:p w:rsidR="00872684" w:rsidRPr="008F141F" w:rsidRDefault="00872684" w:rsidP="00872684">
      <w:pPr>
        <w:spacing w:before="120" w:after="120"/>
        <w:ind w:firstLine="720"/>
        <w:jc w:val="both"/>
        <w:rPr>
          <w:lang w:val="en-GB"/>
        </w:rPr>
      </w:pPr>
      <w:r w:rsidRPr="008F141F">
        <w:rPr>
          <w:bCs/>
          <w:lang w:val="en-GB"/>
        </w:rPr>
        <w:t xml:space="preserve">Tổng lưu lượng phương tiện và quy mô giao thương hàng hóa tại Tây Ninh vượt trội hơn nhiều lần so với Long An và Bình Phước. Điều này minh chứng Tây Ninh có vai trò quan trọng trong giao thương cửa khẩu, đặc biệt là quy mô giao thương lớn với Campuchia tương xứng với vị trí địa lý địa phương. Cụ thể: </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 xml:space="preserve">Giai đoạn (2021-2024): Tây Ninh có 1.400.182 lượt phương tiện, gấp </w:t>
      </w:r>
      <w:r w:rsidRPr="008F141F">
        <w:rPr>
          <w:b/>
          <w:sz w:val="28"/>
          <w:szCs w:val="28"/>
        </w:rPr>
        <w:t>18,05</w:t>
      </w:r>
      <w:r w:rsidRPr="008F141F">
        <w:rPr>
          <w:sz w:val="28"/>
          <w:szCs w:val="28"/>
        </w:rPr>
        <w:t xml:space="preserve"> lần Long An (77.585 lượt) và </w:t>
      </w:r>
      <w:r w:rsidRPr="008F141F">
        <w:rPr>
          <w:b/>
          <w:sz w:val="28"/>
          <w:szCs w:val="28"/>
        </w:rPr>
        <w:t>7,63</w:t>
      </w:r>
      <w:r w:rsidRPr="008F141F">
        <w:rPr>
          <w:sz w:val="28"/>
          <w:szCs w:val="28"/>
        </w:rPr>
        <w:t xml:space="preserve"> lần Bình Phước (183.475 lượt).</w:t>
      </w:r>
    </w:p>
    <w:p w:rsidR="00872684" w:rsidRPr="008F141F" w:rsidRDefault="00872684" w:rsidP="00872684">
      <w:pPr>
        <w:pStyle w:val="ListParagraph"/>
        <w:numPr>
          <w:ilvl w:val="0"/>
          <w:numId w:val="3"/>
        </w:numPr>
        <w:tabs>
          <w:tab w:val="left" w:pos="993"/>
        </w:tabs>
        <w:spacing w:before="120" w:after="120"/>
        <w:ind w:left="0" w:firstLine="709"/>
        <w:jc w:val="both"/>
        <w:rPr>
          <w:sz w:val="28"/>
          <w:szCs w:val="28"/>
        </w:rPr>
      </w:pPr>
      <w:r w:rsidRPr="008F141F">
        <w:rPr>
          <w:sz w:val="28"/>
          <w:szCs w:val="28"/>
        </w:rPr>
        <w:t xml:space="preserve">Lượt xe quá cảnh tại Tây Ninh cao gấp </w:t>
      </w:r>
      <w:r w:rsidRPr="008F141F">
        <w:rPr>
          <w:b/>
          <w:sz w:val="28"/>
          <w:szCs w:val="28"/>
        </w:rPr>
        <w:t>8,62</w:t>
      </w:r>
      <w:r w:rsidRPr="008F141F">
        <w:rPr>
          <w:sz w:val="28"/>
          <w:szCs w:val="28"/>
        </w:rPr>
        <w:t xml:space="preserve"> lần Long An (449.480 lượt so với 52.152 lượt). Riêng Bình Phước không có dữ liệu xe quá cảnh.</w:t>
      </w:r>
    </w:p>
    <w:p w:rsidR="00872684" w:rsidRPr="008F141F" w:rsidRDefault="00872684" w:rsidP="00872684">
      <w:pPr>
        <w:tabs>
          <w:tab w:val="num" w:pos="720"/>
        </w:tabs>
        <w:spacing w:before="120" w:after="120"/>
        <w:ind w:firstLine="720"/>
        <w:jc w:val="both"/>
        <w:rPr>
          <w:bCs/>
          <w:lang w:val="en-GB"/>
        </w:rPr>
      </w:pPr>
      <w:r w:rsidRPr="008F141F">
        <w:rPr>
          <w:bCs/>
          <w:lang w:val="en-GB"/>
        </w:rPr>
        <w:t xml:space="preserve">So sánh cụ thể giữa các cửa khẩu lớn, chủ lực của từng địa phương: Mộc Bài (Tây Ninh) năm 2024 có 245.348 lượt xe, gấp </w:t>
      </w:r>
      <w:r w:rsidRPr="008F141F">
        <w:rPr>
          <w:b/>
          <w:bCs/>
          <w:lang w:val="en-GB"/>
        </w:rPr>
        <w:t>3,37</w:t>
      </w:r>
      <w:r w:rsidRPr="008F141F">
        <w:rPr>
          <w:bCs/>
          <w:lang w:val="en-GB"/>
        </w:rPr>
        <w:t xml:space="preserve"> lần Hoa Lư (Bình Phước) và </w:t>
      </w:r>
      <w:r w:rsidRPr="008F141F">
        <w:rPr>
          <w:b/>
          <w:bCs/>
          <w:lang w:val="en-GB"/>
        </w:rPr>
        <w:t>9,62</w:t>
      </w:r>
      <w:r w:rsidRPr="008F141F">
        <w:rPr>
          <w:bCs/>
          <w:lang w:val="en-GB"/>
        </w:rPr>
        <w:t xml:space="preserve"> lần Bình Hiệp (Long An).</w:t>
      </w:r>
    </w:p>
    <w:p w:rsidR="00872684" w:rsidRPr="008F141F" w:rsidRDefault="00872684" w:rsidP="00872684">
      <w:pPr>
        <w:spacing w:before="120" w:after="120"/>
        <w:ind w:left="720"/>
        <w:jc w:val="both"/>
        <w:rPr>
          <w:b/>
          <w:lang w:val="en-GB"/>
        </w:rPr>
      </w:pPr>
      <w:r w:rsidRPr="008F141F">
        <w:rPr>
          <w:b/>
          <w:lang w:val="en-GB"/>
        </w:rPr>
        <w:t>3. Đánh giá mức thu của Tây Ninh các địa phương lân cận</w:t>
      </w:r>
    </w:p>
    <w:p w:rsidR="00872684" w:rsidRPr="008F141F" w:rsidRDefault="00872684" w:rsidP="00872684">
      <w:pPr>
        <w:spacing w:before="120" w:after="120"/>
        <w:ind w:firstLine="720"/>
        <w:jc w:val="both"/>
      </w:pPr>
      <w:r w:rsidRPr="008F141F">
        <w:t>So sánh mức thu với các tỉnh lân cận (Long An, Bình Phước), mức thu tại Tây Ninh tuy có cao hơn, nhưng tương xứng với quy mô, vị thế, tình hình và điều kiện thực tế tại Tây Ninh do:</w:t>
      </w:r>
    </w:p>
    <w:p w:rsidR="00872684" w:rsidRPr="008F141F" w:rsidRDefault="00872684" w:rsidP="00872684">
      <w:pPr>
        <w:spacing w:before="120" w:after="120"/>
        <w:ind w:firstLine="720"/>
        <w:jc w:val="both"/>
      </w:pPr>
      <w:r w:rsidRPr="008F141F">
        <w:rPr>
          <w:i/>
        </w:rPr>
        <w:t>(1) Vị trí địa lý chiến lược:</w:t>
      </w:r>
      <w:r w:rsidRPr="008F141F">
        <w:t xml:space="preserve"> với lợi thế của cửa khẩu Mộc Bài, gần các cảng biển lớn, giúp giảm 20-30% chi phí logistics, thu hút lưu lượng xe lớn hơn </w:t>
      </w:r>
      <w:r w:rsidR="007836CA" w:rsidRPr="008F141F">
        <w:t>qua khu vực này.</w:t>
      </w:r>
    </w:p>
    <w:p w:rsidR="007836CA" w:rsidRPr="008F141F" w:rsidRDefault="007836CA" w:rsidP="007836CA">
      <w:pPr>
        <w:spacing w:beforeLines="50" w:before="120" w:afterLines="50" w:after="120"/>
        <w:ind w:firstLine="810"/>
        <w:jc w:val="both"/>
        <w:rPr>
          <w:bCs/>
        </w:rPr>
      </w:pPr>
      <w:r w:rsidRPr="008F141F">
        <w:rPr>
          <w:bCs/>
        </w:rPr>
        <w:t>Cửa khẩu Mộc Bài</w:t>
      </w:r>
      <w:r w:rsidRPr="008F141F">
        <w:rPr>
          <w:shd w:val="clear" w:color="auto" w:fill="FFFFFF"/>
        </w:rPr>
        <w:t xml:space="preserve"> cách thành phố Hồ Chí Minh khoảng 70 km.</w:t>
      </w:r>
      <w:r w:rsidRPr="008F141F">
        <w:rPr>
          <w:bCs/>
        </w:rPr>
        <w:t xml:space="preserve"> Hạ tầng kết nối giao thông từ Cửa khẩu Mộc Bài đến Thành phố Hồ Chí Minh rất thuận lợi, đặc biệt là kết nối đến các Cảng của Thành phố Hồ Chí Minh;</w:t>
      </w:r>
      <w:r w:rsidRPr="008F141F">
        <w:rPr>
          <w:shd w:val="clear" w:color="auto" w:fill="FFFFFF"/>
        </w:rPr>
        <w:t xml:space="preserve"> đồng thời Cửa khẩu Mộc Bài</w:t>
      </w:r>
      <w:r w:rsidRPr="008F141F">
        <w:rPr>
          <w:bCs/>
        </w:rPr>
        <w:t xml:space="preserve"> là cửa khẩu quốc tế đường bộ lớn nhất phía Nam trên tuyến biên giới đất liền Việt Nam - Campuchia, nằm ngay trên trục đường Xuyên Á (quốc lộ 22A). Cửa khẩu Mộc Bài không chỉ là một cửa ngõ của Tỉnh Tây Ninh trong việc phát triển giao lưu thương mại với Campuchia mà còn giữ vai trò quan trọng trong xây dựng, phát triển kinh tế hướng ngoại, trở thành trung tâm thương mại quốc tế, thực hiện </w:t>
      </w:r>
      <w:r w:rsidRPr="008F141F">
        <w:rPr>
          <w:bCs/>
        </w:rPr>
        <w:lastRenderedPageBreak/>
        <w:t>chương trình hợp tác Tiểu vùng sông Mêkông trong chiến lược phát triển kinh tế ở phía Nam - Việt Nam. Là cầu nối giữa TP. Hồ Chí Minh, trung tâm kinh tế lớn nhất của Việt Nam với Thủ đô PhnomPenh của Vương quốc Campuchia với khoảng 170 km đường bộ.</w:t>
      </w:r>
    </w:p>
    <w:p w:rsidR="004653E2" w:rsidRPr="008F141F" w:rsidRDefault="004653E2" w:rsidP="004653E2">
      <w:pPr>
        <w:spacing w:beforeLines="50" w:before="120" w:afterLines="50" w:after="120"/>
        <w:ind w:firstLine="720"/>
        <w:jc w:val="both"/>
        <w:rPr>
          <w:shd w:val="clear" w:color="auto" w:fill="FFFFFF"/>
        </w:rPr>
      </w:pPr>
      <w:r w:rsidRPr="008F141F">
        <w:rPr>
          <w:bCs/>
        </w:rPr>
        <w:t>Về điều kiện hạ tầng kỹ thuật, đặc biệt là hạ tầng kết nối giao thông từ Cửa khẩu các địa phương lân cận không thuận lợi như Tây Ninh (</w:t>
      </w:r>
      <w:r w:rsidRPr="008F141F">
        <w:rPr>
          <w:i/>
          <w:shd w:val="clear" w:color="auto" w:fill="FFFFFF"/>
        </w:rPr>
        <w:t xml:space="preserve">cửa khẩu Hoa Lư </w:t>
      </w:r>
      <w:r w:rsidR="00153F2E">
        <w:rPr>
          <w:i/>
          <w:shd w:val="clear" w:color="auto" w:fill="FFFFFF"/>
        </w:rPr>
        <w:t xml:space="preserve">(Bình Phước) </w:t>
      </w:r>
      <w:r w:rsidRPr="008F141F">
        <w:rPr>
          <w:i/>
          <w:shd w:val="clear" w:color="auto" w:fill="FFFFFF"/>
        </w:rPr>
        <w:t>cách thành phố Hồ Chí Minh khoảng 150 km và cách thủ đô Phnom Penh của Campuchia 300 km; cửa khẩu Bình Hiệp (Long An) cách thành phố Hồ Chí Minh khoảng 100 km và Phnom Penh khoảng 120 km</w:t>
      </w:r>
      <w:r w:rsidRPr="008F141F">
        <w:rPr>
          <w:shd w:val="clear" w:color="auto" w:fill="FFFFFF"/>
        </w:rPr>
        <w:t xml:space="preserve">) và </w:t>
      </w:r>
      <w:r w:rsidRPr="008F141F">
        <w:rPr>
          <w:bCs/>
        </w:rPr>
        <w:t>phương tiện qua lại cửa khẩu hàng năm không nhiều.</w:t>
      </w:r>
    </w:p>
    <w:p w:rsidR="00872684" w:rsidRPr="008F141F" w:rsidRDefault="00872684" w:rsidP="00872684">
      <w:pPr>
        <w:spacing w:before="120" w:after="120"/>
        <w:ind w:firstLine="720"/>
        <w:jc w:val="both"/>
      </w:pPr>
      <w:r w:rsidRPr="008F141F">
        <w:rPr>
          <w:i/>
        </w:rPr>
        <w:t>(2) Nguồn thu chủ yếu từ xe quá cảnh:</w:t>
      </w:r>
      <w:r w:rsidRPr="008F141F">
        <w:t xml:space="preserve"> Tại Mộc Bài, xe quá cảnh chiếm 51,2% tổng lượt xe (360.964/704.592 lượt) và 88,5% tổng thu (856.115/967.171 triệu đồng) giai đoạn 2021-2024, phản ánh vai trò cửa ngõ quá cảnh lớn nhất phía Nam.</w:t>
      </w:r>
    </w:p>
    <w:p w:rsidR="00872684" w:rsidRPr="008F141F" w:rsidRDefault="00872684" w:rsidP="00872684">
      <w:pPr>
        <w:spacing w:before="120" w:after="120"/>
        <w:jc w:val="both"/>
      </w:pPr>
      <w:r w:rsidRPr="008F141F">
        <w:rPr>
          <w:b/>
          <w:i/>
        </w:rPr>
        <w:tab/>
      </w:r>
      <w:r w:rsidRPr="008F141F">
        <w:rPr>
          <w:i/>
        </w:rPr>
        <w:t>(3) Tỷ lệ thu hàng năm tăng:</w:t>
      </w:r>
      <w:r w:rsidRPr="008F141F">
        <w:t xml:space="preserve"> Từ 2021-2024, số thu tại Mộc Bài tăng lần lượt 13,1% (2022), -15,9% (2023 do suy giảm kinh tế toàn cầu, đại dịch Covids-19), và 33,43% (2024), cho thấy xu hướng tăng trưởng bền vững khi kinh tế phục hồi.</w:t>
      </w:r>
    </w:p>
    <w:p w:rsidR="00583FDF" w:rsidRPr="008F141F" w:rsidRDefault="00583FDF" w:rsidP="00583FDF">
      <w:pPr>
        <w:spacing w:beforeLines="60" w:before="144" w:afterLines="60" w:after="144"/>
        <w:ind w:firstLine="720"/>
        <w:jc w:val="both"/>
        <w:rPr>
          <w:b/>
          <w:bCs/>
          <w:lang w:val="vi-VN"/>
        </w:rPr>
      </w:pPr>
      <w:r w:rsidRPr="008F141F">
        <w:rPr>
          <w:b/>
        </w:rPr>
        <w:t>IV</w:t>
      </w:r>
      <w:r w:rsidR="00E078AB" w:rsidRPr="008F141F">
        <w:rPr>
          <w:b/>
        </w:rPr>
        <w:t xml:space="preserve">. </w:t>
      </w:r>
      <w:r w:rsidRPr="008F141F">
        <w:rPr>
          <w:b/>
        </w:rPr>
        <w:t>MẶT ĐƯỢC, MẶT HẠN CHẾ</w:t>
      </w:r>
      <w:r w:rsidRPr="008F141F">
        <w:rPr>
          <w:b/>
          <w:bCs/>
          <w:lang w:val="en-GB"/>
        </w:rPr>
        <w:t xml:space="preserve"> KHI THỰC HIỆN</w:t>
      </w:r>
      <w:r w:rsidRPr="008F141F">
        <w:rPr>
          <w:b/>
          <w:bCs/>
          <w:lang w:val="vi-VN"/>
        </w:rPr>
        <w:t xml:space="preserve"> NGHỊ QUYẾT SỐ 05/2021/NQ-HĐND</w:t>
      </w:r>
    </w:p>
    <w:p w:rsidR="00E078AB" w:rsidRPr="008F141F" w:rsidRDefault="00583FDF" w:rsidP="00E078AB">
      <w:pPr>
        <w:spacing w:before="120" w:after="120"/>
        <w:ind w:firstLine="720"/>
        <w:jc w:val="both"/>
        <w:rPr>
          <w:b/>
        </w:rPr>
      </w:pPr>
      <w:r w:rsidRPr="008F141F">
        <w:rPr>
          <w:b/>
        </w:rPr>
        <w:t>1</w:t>
      </w:r>
      <w:r w:rsidR="00E078AB" w:rsidRPr="008F141F">
        <w:rPr>
          <w:b/>
        </w:rPr>
        <w:t>. Mặt được</w:t>
      </w:r>
    </w:p>
    <w:p w:rsidR="00E078AB" w:rsidRPr="008F141F" w:rsidRDefault="00E078AB" w:rsidP="00E078AB">
      <w:pPr>
        <w:spacing w:before="120" w:after="120"/>
        <w:ind w:firstLine="720"/>
        <w:jc w:val="both"/>
      </w:pPr>
      <w:r w:rsidRPr="008F141F">
        <w:t xml:space="preserve">- </w:t>
      </w:r>
      <w:r w:rsidRPr="008F141F">
        <w:rPr>
          <w:i/>
        </w:rPr>
        <w:t>Mức thu tại Nghị quyết số 05/2021/NQ-HĐND là phù hợp với thực tiễn</w:t>
      </w:r>
      <w:r w:rsidRPr="008F141F">
        <w:t>: Việc duy trì mức thu ổn định và tăng trưởng từng năm giúp đảm bảo nguồn thu ngân sách ổn định, đồng thời không gây ảnh hưởng đến hoạt động xuất nhập khẩu.</w:t>
      </w:r>
    </w:p>
    <w:p w:rsidR="00E078AB" w:rsidRPr="008F141F" w:rsidRDefault="00E078AB" w:rsidP="00E078AB">
      <w:pPr>
        <w:spacing w:before="120" w:after="120"/>
        <w:ind w:firstLine="720"/>
        <w:jc w:val="both"/>
      </w:pPr>
      <w:r w:rsidRPr="008F141F">
        <w:t xml:space="preserve">- </w:t>
      </w:r>
      <w:r w:rsidRPr="008F141F">
        <w:rPr>
          <w:i/>
        </w:rPr>
        <w:t>Vị trí chiến lược của Mộc Bài:</w:t>
      </w:r>
      <w:r w:rsidRPr="008F141F">
        <w:t xml:space="preserve"> Cách TP. Hồ Chí Minh 70 km, gần các cảng biển lớn, nằm trên tuyến Xuyên Á (Quốc lộ 22A) nối Mộc Bài - Phnom Penh (Campuchia) khẳng định vai trò cửa khẩu trọng điểm phía Nam. </w:t>
      </w:r>
    </w:p>
    <w:p w:rsidR="00E078AB" w:rsidRPr="008F141F" w:rsidRDefault="00E078AB" w:rsidP="00E078AB">
      <w:pPr>
        <w:spacing w:before="120" w:after="120"/>
        <w:ind w:firstLine="720"/>
        <w:jc w:val="both"/>
      </w:pPr>
      <w:r w:rsidRPr="008F141F">
        <w:rPr>
          <w:i/>
        </w:rPr>
        <w:t>- Nguồn thu ổn định và tăng trưởng:</w:t>
      </w:r>
      <w:r w:rsidRPr="008F141F">
        <w:t xml:space="preserve"> Bình quân 311.721 triệu đồng/năm (2021-2024), tăng </w:t>
      </w:r>
      <w:r w:rsidRPr="008F141F">
        <w:rPr>
          <w:b/>
        </w:rPr>
        <w:t xml:space="preserve">13,8% </w:t>
      </w:r>
      <w:r w:rsidRPr="008F141F">
        <w:t xml:space="preserve">so với 273.929 triệu đồng/năm (2014-2020). Riêng Mộc Bài tăng </w:t>
      </w:r>
      <w:r w:rsidRPr="008F141F">
        <w:rPr>
          <w:b/>
        </w:rPr>
        <w:t>33,43%</w:t>
      </w:r>
      <w:r w:rsidRPr="008F141F">
        <w:t xml:space="preserve"> năm 2024, vượt kế hoạch dù năm 2023 tổng thu tại các cửa khẩu giảm 15,9% do kinh tế toàn cầu suy thoái, bệnh dịch.</w:t>
      </w:r>
    </w:p>
    <w:p w:rsidR="00E078AB" w:rsidRPr="008F141F" w:rsidRDefault="00E078AB" w:rsidP="00E078AB">
      <w:pPr>
        <w:spacing w:before="120" w:after="120"/>
        <w:ind w:firstLine="720"/>
        <w:jc w:val="both"/>
      </w:pPr>
      <w:r w:rsidRPr="008F141F">
        <w:rPr>
          <w:i/>
        </w:rPr>
        <w:t>- Nguồn thu chính từ phương tiện quá cảnh:</w:t>
      </w:r>
      <w:r w:rsidRPr="008F141F">
        <w:t xml:space="preserve"> Giai đoạn 2021-2024, phương tiện quá cảnh</w:t>
      </w:r>
      <w:r w:rsidRPr="008F141F">
        <w:rPr>
          <w:rStyle w:val="FootnoteReference"/>
        </w:rPr>
        <w:footnoteReference w:id="1"/>
      </w:r>
      <w:r w:rsidRPr="008F141F">
        <w:t xml:space="preserve"> chiếm </w:t>
      </w:r>
      <w:r w:rsidRPr="008F141F">
        <w:rPr>
          <w:b/>
        </w:rPr>
        <w:t>51,2%</w:t>
      </w:r>
      <w:r w:rsidRPr="008F141F">
        <w:t xml:space="preserve"> (</w:t>
      </w:r>
      <w:r w:rsidRPr="008F141F">
        <w:rPr>
          <w:i/>
        </w:rPr>
        <w:t>360.964/704.592 lượt</w:t>
      </w:r>
      <w:r w:rsidRPr="008F141F">
        <w:t>), thu 856.115 triệu đồng (</w:t>
      </w:r>
      <w:r w:rsidRPr="008F141F">
        <w:rPr>
          <w:b/>
          <w:i/>
        </w:rPr>
        <w:t>88,5%</w:t>
      </w:r>
      <w:r w:rsidRPr="008F141F">
        <w:t xml:space="preserve">), phù hợp định hướng phát triển cửa khẩu quốc tế tại Quyết định </w:t>
      </w:r>
      <w:r w:rsidR="00CC55EB" w:rsidRPr="008F141F">
        <w:t xml:space="preserve">số </w:t>
      </w:r>
      <w:r w:rsidRPr="008F141F">
        <w:t>1200/QĐ-TTg của Thủ tướng Chính phủ.</w:t>
      </w:r>
    </w:p>
    <w:p w:rsidR="00E078AB" w:rsidRPr="008F141F" w:rsidRDefault="00E078AB" w:rsidP="00E078AB">
      <w:pPr>
        <w:spacing w:before="120" w:after="120"/>
        <w:ind w:firstLine="720"/>
        <w:jc w:val="both"/>
      </w:pPr>
      <w:r w:rsidRPr="008F141F">
        <w:rPr>
          <w:i/>
        </w:rPr>
        <w:lastRenderedPageBreak/>
        <w:t xml:space="preserve"> - Doanh nghiệp chấp nhận mức thu hiện tại:</w:t>
      </w:r>
      <w:r w:rsidRPr="008F141F">
        <w:t xml:space="preserve"> Tuy mức thu 500.000 đồng/lượt (xe trên 18 tấn)</w:t>
      </w:r>
      <w:r w:rsidR="00774737" w:rsidRPr="008F141F">
        <w:t xml:space="preserve"> tuy</w:t>
      </w:r>
      <w:r w:rsidRPr="008F141F">
        <w:t xml:space="preserve"> có cao hơn một số tỉnh lân cận (Long An, Bình Phước) nhưng so với mức thu tại một số cửa khẩu khu vực phía Bắc thì mức thu tại Tây Ninh vẫn còn thấp hơn Lạng Sơn (1.000.000 đồng) và Móng Cái (800.000 đồng). </w:t>
      </w:r>
    </w:p>
    <w:p w:rsidR="00E078AB" w:rsidRPr="008F141F" w:rsidRDefault="00E078AB" w:rsidP="00E078AB">
      <w:pPr>
        <w:spacing w:before="120" w:after="120"/>
        <w:ind w:firstLine="720"/>
        <w:jc w:val="both"/>
      </w:pPr>
      <w:r w:rsidRPr="008F141F">
        <w:rPr>
          <w:i/>
        </w:rPr>
        <w:t>- Hiệu quả quản lý:</w:t>
      </w:r>
      <w:r w:rsidRPr="008F141F">
        <w:t xml:space="preserve"> Phối hợp với hải quan, biên phòng giai đoạn 2021-2024 giúp tăng thu </w:t>
      </w:r>
      <w:r w:rsidRPr="008F141F">
        <w:rPr>
          <w:b/>
        </w:rPr>
        <w:t>33,43%</w:t>
      </w:r>
      <w:r w:rsidRPr="008F141F">
        <w:t xml:space="preserve"> tại Mộc Bài năm 2024, nhờ quy trình minh bạch (tương tự Lạng Sơn).</w:t>
      </w:r>
    </w:p>
    <w:p w:rsidR="00E078AB" w:rsidRPr="008F141F" w:rsidRDefault="00E078AB" w:rsidP="00E078AB">
      <w:pPr>
        <w:spacing w:before="120" w:after="120"/>
        <w:ind w:firstLine="720"/>
        <w:jc w:val="both"/>
      </w:pPr>
      <w:r w:rsidRPr="008F141F">
        <w:rPr>
          <w:i/>
        </w:rPr>
        <w:t>- Tạo nguồn tái đầu tư:</w:t>
      </w:r>
      <w:r w:rsidRPr="008F141F">
        <w:t xml:space="preserve"> Thu từ Mộc Bài (79,5%) hỗ trợ nâng cấp hạ tầng một số khu vực tại cửa khẩu</w:t>
      </w:r>
      <w:r w:rsidRPr="008F141F">
        <w:rPr>
          <w:rStyle w:val="FootnoteReference"/>
        </w:rPr>
        <w:footnoteReference w:id="2"/>
      </w:r>
      <w:r w:rsidRPr="008F141F">
        <w:t>.</w:t>
      </w:r>
    </w:p>
    <w:p w:rsidR="00E078AB" w:rsidRPr="008F141F" w:rsidRDefault="00583FDF" w:rsidP="00E078AB">
      <w:pPr>
        <w:spacing w:before="120" w:after="120"/>
        <w:ind w:firstLine="720"/>
        <w:jc w:val="both"/>
        <w:rPr>
          <w:b/>
        </w:rPr>
      </w:pPr>
      <w:r w:rsidRPr="008F141F">
        <w:rPr>
          <w:b/>
        </w:rPr>
        <w:t>2</w:t>
      </w:r>
      <w:r w:rsidR="00E078AB" w:rsidRPr="008F141F">
        <w:rPr>
          <w:b/>
        </w:rPr>
        <w:t>. Tồn tại, hạn chế</w:t>
      </w:r>
    </w:p>
    <w:p w:rsidR="00E078AB" w:rsidRPr="008F141F" w:rsidRDefault="00774737" w:rsidP="00E078AB">
      <w:pPr>
        <w:spacing w:before="120" w:after="120"/>
        <w:ind w:firstLine="720"/>
        <w:jc w:val="both"/>
      </w:pPr>
      <w:r w:rsidRPr="008F141F">
        <w:rPr>
          <w:i/>
        </w:rPr>
        <w:t xml:space="preserve">- </w:t>
      </w:r>
      <w:r w:rsidR="00E078AB" w:rsidRPr="008F141F">
        <w:rPr>
          <w:i/>
        </w:rPr>
        <w:t>Tỷ lệ để lại thấp và không đồng đều:</w:t>
      </w:r>
      <w:r w:rsidR="00E078AB" w:rsidRPr="008F141F">
        <w:t xml:space="preserve"> Mộc Bài 3% (</w:t>
      </w:r>
      <w:r w:rsidR="00E078AB" w:rsidRPr="008F141F">
        <w:rPr>
          <w:i/>
        </w:rPr>
        <w:t>9.659 triệu đồng năm 2024</w:t>
      </w:r>
      <w:r w:rsidR="00E078AB" w:rsidRPr="008F141F">
        <w:t>) không đủ chi vận hành dù chiếm 79,5% tổng thu, trong khi Tân Nam 30% (</w:t>
      </w:r>
      <w:r w:rsidR="00E078AB" w:rsidRPr="008F141F">
        <w:rPr>
          <w:i/>
        </w:rPr>
        <w:t>1.201 triệu đồng</w:t>
      </w:r>
      <w:r w:rsidR="00E078AB" w:rsidRPr="008F141F">
        <w:t>) dù chỉ 0,9%. So với Bình Phước (100%), Long An (90%), mức 3% tại Mộc Bài không đáp ứng nhu cầu thực tế.</w:t>
      </w:r>
    </w:p>
    <w:p w:rsidR="00E078AB" w:rsidRPr="008F141F" w:rsidRDefault="00774737" w:rsidP="00E078AB">
      <w:pPr>
        <w:spacing w:before="120" w:after="120"/>
        <w:ind w:firstLine="720"/>
        <w:jc w:val="both"/>
      </w:pPr>
      <w:r w:rsidRPr="008F141F">
        <w:rPr>
          <w:i/>
        </w:rPr>
        <w:t xml:space="preserve">- </w:t>
      </w:r>
      <w:r w:rsidR="00E078AB" w:rsidRPr="008F141F">
        <w:rPr>
          <w:i/>
        </w:rPr>
        <w:t>Chưa mở rộng</w:t>
      </w:r>
      <w:r w:rsidRPr="008F141F">
        <w:rPr>
          <w:i/>
        </w:rPr>
        <w:t xml:space="preserve"> phạm vi</w:t>
      </w:r>
      <w:r w:rsidR="00E078AB" w:rsidRPr="008F141F">
        <w:rPr>
          <w:i/>
        </w:rPr>
        <w:t xml:space="preserve"> thu phí:</w:t>
      </w:r>
      <w:r w:rsidR="00E078AB" w:rsidRPr="008F141F">
        <w:t xml:space="preserve"> </w:t>
      </w:r>
      <w:r w:rsidR="004C5E75" w:rsidRPr="008F141F">
        <w:t xml:space="preserve">cửa khẩu chính </w:t>
      </w:r>
      <w:r w:rsidR="00E078AB" w:rsidRPr="008F141F">
        <w:t xml:space="preserve">Phước Tân và Kà Tum chưa triển khai việc </w:t>
      </w:r>
      <w:r w:rsidR="004C5E75" w:rsidRPr="008F141F">
        <w:t>thu phí, tạo sự</w:t>
      </w:r>
      <w:r w:rsidR="00E078AB" w:rsidRPr="008F141F">
        <w:t xml:space="preserve"> bất cập so với </w:t>
      </w:r>
      <w:r w:rsidR="004C5E75" w:rsidRPr="008F141F">
        <w:t xml:space="preserve">cửa khẩu chính </w:t>
      </w:r>
      <w:r w:rsidR="00E078AB" w:rsidRPr="008F141F">
        <w:t>Chàng Riệc.</w:t>
      </w:r>
    </w:p>
    <w:p w:rsidR="00E078AB" w:rsidRDefault="00774737" w:rsidP="00E078AB">
      <w:pPr>
        <w:spacing w:before="120" w:after="120"/>
        <w:ind w:firstLine="720"/>
        <w:jc w:val="both"/>
      </w:pPr>
      <w:r w:rsidRPr="008F141F">
        <w:rPr>
          <w:i/>
        </w:rPr>
        <w:t xml:space="preserve">- Phát sinh đối tượng thu: </w:t>
      </w:r>
      <w:r w:rsidR="00E078AB" w:rsidRPr="008F141F">
        <w:t>Trong quá trình tổ chức triển khai thực hiện Nghị quyết số 05/2021/NQ-HĐND phát sinh một số đối tượng phương tiện để có thể áp dụng mức thu do chưa được điều chỉnh trong Nghị quyết số 05/2021/NQ-HĐND như: container trên 4</w:t>
      </w:r>
      <w:r w:rsidR="0020445B" w:rsidRPr="008F141F">
        <w:t>0</w:t>
      </w:r>
      <w:r w:rsidR="00E078AB" w:rsidRPr="008F141F">
        <w:t xml:space="preserve"> fit, 1 container chở 02 t</w:t>
      </w:r>
      <w:r w:rsidR="0065798C" w:rsidRPr="008F141F">
        <w:t>hùng container cùng loại 20 fit.</w:t>
      </w:r>
    </w:p>
    <w:p w:rsidR="00474D44" w:rsidRPr="00FA7E07" w:rsidRDefault="00474D44" w:rsidP="00E078AB">
      <w:pPr>
        <w:spacing w:before="120" w:after="120"/>
        <w:ind w:firstLine="720"/>
        <w:jc w:val="both"/>
        <w:rPr>
          <w:color w:val="FF0000"/>
        </w:rPr>
      </w:pPr>
      <w:r w:rsidRPr="00FA7E07">
        <w:rPr>
          <w:color w:val="FF0000"/>
        </w:rPr>
        <w:t xml:space="preserve">- Mức thu còn phân biệt chủng loại hàng hóa, </w:t>
      </w:r>
      <w:r w:rsidR="0026421C">
        <w:rPr>
          <w:color w:val="FF0000"/>
        </w:rPr>
        <w:t>thay vì áp dụng theo loại phương tiện vận chuyển hàng hóa</w:t>
      </w:r>
      <w:r w:rsidRPr="00FA7E07">
        <w:rPr>
          <w:color w:val="FF0000"/>
        </w:rPr>
        <w:t>.</w:t>
      </w:r>
    </w:p>
    <w:p w:rsidR="00E078AB" w:rsidRPr="008F141F" w:rsidRDefault="00583FDF" w:rsidP="00E078AB">
      <w:pPr>
        <w:spacing w:before="120" w:after="120"/>
        <w:ind w:firstLine="720"/>
        <w:jc w:val="both"/>
        <w:rPr>
          <w:b/>
        </w:rPr>
      </w:pPr>
      <w:r w:rsidRPr="008F141F">
        <w:rPr>
          <w:b/>
        </w:rPr>
        <w:t>3</w:t>
      </w:r>
      <w:r w:rsidR="00E078AB" w:rsidRPr="008F141F">
        <w:rPr>
          <w:b/>
        </w:rPr>
        <w:t>. Nguyên nhân</w:t>
      </w:r>
    </w:p>
    <w:p w:rsidR="00E078AB" w:rsidRPr="008F141F" w:rsidRDefault="00774737" w:rsidP="00E078AB">
      <w:pPr>
        <w:spacing w:before="120" w:after="120"/>
        <w:ind w:firstLine="720"/>
        <w:jc w:val="both"/>
      </w:pPr>
      <w:r w:rsidRPr="008F141F">
        <w:rPr>
          <w:i/>
        </w:rPr>
        <w:t xml:space="preserve">- </w:t>
      </w:r>
      <w:r w:rsidR="00E078AB" w:rsidRPr="008F141F">
        <w:rPr>
          <w:i/>
        </w:rPr>
        <w:t>Tỷ lệ để lại:</w:t>
      </w:r>
      <w:r w:rsidR="004653E2" w:rsidRPr="008F141F">
        <w:rPr>
          <w:i/>
        </w:rPr>
        <w:t xml:space="preserve"> </w:t>
      </w:r>
      <w:r w:rsidR="004653E2" w:rsidRPr="008F141F">
        <w:t>tại</w:t>
      </w:r>
      <w:r w:rsidR="00E078AB" w:rsidRPr="008F141F">
        <w:rPr>
          <w:i/>
        </w:rPr>
        <w:t xml:space="preserve"> </w:t>
      </w:r>
      <w:r w:rsidR="00E078AB" w:rsidRPr="008F141F">
        <w:t>Điều 2 Nghị quyết số 05/2021/NQ-HĐND quy định</w:t>
      </w:r>
      <w:r w:rsidR="00876950" w:rsidRPr="008F141F">
        <w:t xml:space="preserve"> tỷ lệ</w:t>
      </w:r>
      <w:r w:rsidR="00E078AB" w:rsidRPr="008F141F">
        <w:t xml:space="preserve"> % </w:t>
      </w:r>
      <w:r w:rsidR="00876950" w:rsidRPr="008F141F">
        <w:t xml:space="preserve">mức </w:t>
      </w:r>
      <w:r w:rsidR="00E078AB" w:rsidRPr="008F141F">
        <w:t>khác nhau</w:t>
      </w:r>
      <w:r w:rsidR="00876950" w:rsidRPr="008F141F">
        <w:t xml:space="preserve"> cho từng cửa khẩu.</w:t>
      </w:r>
    </w:p>
    <w:p w:rsidR="00E078AB" w:rsidRPr="008F141F" w:rsidRDefault="00774737" w:rsidP="00E078AB">
      <w:pPr>
        <w:spacing w:before="120" w:after="120"/>
        <w:ind w:firstLine="720"/>
        <w:jc w:val="both"/>
      </w:pPr>
      <w:r w:rsidRPr="008F141F">
        <w:rPr>
          <w:i/>
        </w:rPr>
        <w:t xml:space="preserve">- </w:t>
      </w:r>
      <w:r w:rsidR="00E078AB" w:rsidRPr="008F141F">
        <w:rPr>
          <w:i/>
        </w:rPr>
        <w:t>Phạm vi thu:</w:t>
      </w:r>
      <w:r w:rsidR="00E078AB" w:rsidRPr="008F141F">
        <w:t xml:space="preserve"> Chưa cập nhật </w:t>
      </w:r>
      <w:r w:rsidR="004C5E75" w:rsidRPr="008F141F">
        <w:t xml:space="preserve">cửa khẩu chính </w:t>
      </w:r>
      <w:r w:rsidR="00E078AB" w:rsidRPr="008F141F">
        <w:t xml:space="preserve">Phước Tân, Kà Tum do </w:t>
      </w:r>
      <w:r w:rsidR="00153F2E">
        <w:t xml:space="preserve">chưa </w:t>
      </w:r>
      <w:r w:rsidR="00E078AB" w:rsidRPr="008F141F">
        <w:t>có chủ trương thực hiện.</w:t>
      </w:r>
    </w:p>
    <w:p w:rsidR="00876950" w:rsidRDefault="00774737" w:rsidP="00E078AB">
      <w:pPr>
        <w:spacing w:before="120" w:after="120"/>
        <w:ind w:firstLine="720"/>
        <w:jc w:val="both"/>
      </w:pPr>
      <w:r w:rsidRPr="008F141F">
        <w:rPr>
          <w:i/>
        </w:rPr>
        <w:t xml:space="preserve">- </w:t>
      </w:r>
      <w:r w:rsidR="00876950" w:rsidRPr="008F141F">
        <w:rPr>
          <w:i/>
        </w:rPr>
        <w:t>Đối tượng thu phát sinh:</w:t>
      </w:r>
      <w:r w:rsidR="00876950" w:rsidRPr="008F141F">
        <w:t xml:space="preserve"> </w:t>
      </w:r>
      <w:r w:rsidR="00583FDF" w:rsidRPr="008F141F">
        <w:t xml:space="preserve">Nghị quyết số 05/2021/NQ-HĐND chưa điều chỉnh việc áp dụng thu cho một số đối tượng phương tiện </w:t>
      </w:r>
      <w:r w:rsidR="00CC55EB" w:rsidRPr="008F141F">
        <w:t>phát sinh như: container trên 40</w:t>
      </w:r>
      <w:r w:rsidR="00583FDF" w:rsidRPr="008F141F">
        <w:t xml:space="preserve"> fit, 1 container chở 02 t</w:t>
      </w:r>
      <w:r w:rsidR="0065798C" w:rsidRPr="008F141F">
        <w:t>hùng container cùng loại 20 fit.</w:t>
      </w:r>
    </w:p>
    <w:p w:rsidR="00474D44" w:rsidRPr="008F141F" w:rsidRDefault="00474D44" w:rsidP="00E078AB">
      <w:pPr>
        <w:spacing w:before="120" w:after="120"/>
        <w:ind w:firstLine="720"/>
        <w:jc w:val="both"/>
      </w:pPr>
      <w:r w:rsidRPr="00277AB2">
        <w:t>- Do việc xây dựng mức thu trước đây dựa trên mức thu của các tỉnh phía Bắc (Lạng Sơn, Quảng Ninh) có phân biệt chủng loại hàng hóa.</w:t>
      </w:r>
    </w:p>
    <w:p w:rsidR="0087215D" w:rsidRPr="008F141F" w:rsidRDefault="0087215D" w:rsidP="001502A7">
      <w:pPr>
        <w:spacing w:beforeLines="20" w:before="48" w:afterLines="20" w:after="48"/>
        <w:rPr>
          <w:b/>
          <w:lang w:val="nl-NL"/>
        </w:rPr>
      </w:pPr>
    </w:p>
    <w:p w:rsidR="00872684" w:rsidRPr="008F141F" w:rsidRDefault="00872684" w:rsidP="00872684">
      <w:pPr>
        <w:spacing w:beforeLines="20" w:before="48" w:afterLines="20" w:after="48"/>
        <w:jc w:val="center"/>
        <w:rPr>
          <w:b/>
          <w:lang w:val="nl-NL"/>
        </w:rPr>
      </w:pPr>
      <w:r w:rsidRPr="008F141F">
        <w:rPr>
          <w:b/>
          <w:lang w:val="nl-NL"/>
        </w:rPr>
        <w:lastRenderedPageBreak/>
        <w:t>PHẦN II</w:t>
      </w:r>
    </w:p>
    <w:p w:rsidR="00533C16" w:rsidRPr="008F141F" w:rsidRDefault="00B04BBD" w:rsidP="00533C16">
      <w:pPr>
        <w:ind w:firstLine="720"/>
        <w:jc w:val="center"/>
        <w:rPr>
          <w:b/>
        </w:rPr>
      </w:pPr>
      <w:r w:rsidRPr="008F141F">
        <w:rPr>
          <w:b/>
        </w:rPr>
        <w:t xml:space="preserve">CƠ SỞ PHÁP LÝ VÀ SỰ CẦN THIẾT </w:t>
      </w:r>
      <w:r w:rsidR="00C575D9" w:rsidRPr="008F141F">
        <w:rPr>
          <w:b/>
        </w:rPr>
        <w:t>XÂY DỰNG NGHỊ QUYẾT THAY THẾ</w:t>
      </w:r>
      <w:r w:rsidRPr="008F141F">
        <w:rPr>
          <w:b/>
        </w:rPr>
        <w:t xml:space="preserve"> NGHỊ QUYẾT SỐ 05/2021/NQ-HĐND </w:t>
      </w:r>
    </w:p>
    <w:p w:rsidR="00B04BBD" w:rsidRPr="008F141F" w:rsidRDefault="00C575D9" w:rsidP="00533C16">
      <w:pPr>
        <w:ind w:firstLine="720"/>
        <w:jc w:val="center"/>
        <w:rPr>
          <w:b/>
        </w:rPr>
      </w:pPr>
      <w:r w:rsidRPr="008F141F">
        <w:rPr>
          <w:b/>
        </w:rPr>
        <w:t xml:space="preserve">CỦA HỘI ĐỒNG NHÂN DÂN </w:t>
      </w:r>
      <w:r w:rsidR="00A44B2F" w:rsidRPr="008F141F">
        <w:rPr>
          <w:b/>
        </w:rPr>
        <w:t>TỈNH</w:t>
      </w:r>
    </w:p>
    <w:p w:rsidR="00B04BBD" w:rsidRPr="008F141F" w:rsidRDefault="00C43636" w:rsidP="00EB1127">
      <w:pPr>
        <w:spacing w:beforeLines="60" w:before="144" w:afterLines="60" w:after="144"/>
        <w:ind w:firstLine="720"/>
        <w:jc w:val="both"/>
        <w:rPr>
          <w:b/>
        </w:rPr>
      </w:pPr>
      <w:r w:rsidRPr="008F141F">
        <w:rPr>
          <w:b/>
        </w:rPr>
        <w:t>1</w:t>
      </w:r>
      <w:r w:rsidR="00121635" w:rsidRPr="008F141F">
        <w:rPr>
          <w:b/>
        </w:rPr>
        <w:t>. Cơ sở pháp lý</w:t>
      </w:r>
    </w:p>
    <w:p w:rsidR="00CE2856" w:rsidRDefault="00B04BBD" w:rsidP="00CE2856">
      <w:pPr>
        <w:spacing w:beforeLines="60" w:before="144" w:afterLines="60" w:after="144"/>
        <w:ind w:firstLine="720"/>
        <w:jc w:val="both"/>
      </w:pPr>
      <w:r w:rsidRPr="008F141F">
        <w:t>-</w:t>
      </w:r>
      <w:r w:rsidR="00CE2856" w:rsidRPr="00CE2856">
        <w:t xml:space="preserve"> </w:t>
      </w:r>
      <w:r w:rsidR="00CE2856">
        <w:t xml:space="preserve">Căn cứ Luật Tổ chức chính quyền địa phương ngày 19 tháng 02 năm 2025; </w:t>
      </w:r>
    </w:p>
    <w:p w:rsidR="00CE2856" w:rsidRDefault="00CE2856" w:rsidP="00CE2856">
      <w:pPr>
        <w:spacing w:beforeLines="60" w:before="144" w:afterLines="60" w:after="144"/>
        <w:ind w:firstLine="720"/>
        <w:jc w:val="both"/>
      </w:pPr>
      <w:r>
        <w:t>- Căn cứ Luật Ban hành văn bản quy phạm pháp luật ngày 19 tháng 02 năm 2025;</w:t>
      </w:r>
      <w:r w:rsidR="00B04BBD" w:rsidRPr="008F141F">
        <w:t xml:space="preserve"> </w:t>
      </w:r>
    </w:p>
    <w:p w:rsidR="00B04BBD" w:rsidRPr="008F141F" w:rsidRDefault="00CE2856" w:rsidP="00EB1127">
      <w:pPr>
        <w:spacing w:beforeLines="60" w:before="144" w:afterLines="60" w:after="144"/>
        <w:ind w:firstLine="720"/>
        <w:jc w:val="both"/>
      </w:pPr>
      <w:r>
        <w:t xml:space="preserve">- </w:t>
      </w:r>
      <w:r w:rsidR="003654F9" w:rsidRPr="008F141F">
        <w:t>Luật Phí và lệ phí ngày 25 tháng 11 năm 2015;</w:t>
      </w:r>
    </w:p>
    <w:p w:rsidR="00B04BBD" w:rsidRPr="008F141F" w:rsidRDefault="00B04BBD" w:rsidP="00EB1127">
      <w:pPr>
        <w:spacing w:beforeLines="60" w:before="144" w:afterLines="60" w:after="144"/>
        <w:ind w:firstLine="720"/>
        <w:jc w:val="both"/>
      </w:pPr>
      <w:r w:rsidRPr="008F141F">
        <w:t>- Nghị định số 120/2016/NĐ-CP ngày 23</w:t>
      </w:r>
      <w:r w:rsidR="003654F9" w:rsidRPr="008F141F">
        <w:t xml:space="preserve"> tháng </w:t>
      </w:r>
      <w:r w:rsidRPr="008F141F">
        <w:t>8</w:t>
      </w:r>
      <w:r w:rsidR="003654F9" w:rsidRPr="008F141F">
        <w:t xml:space="preserve"> năm </w:t>
      </w:r>
      <w:r w:rsidRPr="008F141F">
        <w:t>2016 của Chính phủ quy định chi tiết và hướng dẫn thi hành một số điều của Luật Phí và Lệ phí;</w:t>
      </w:r>
    </w:p>
    <w:p w:rsidR="00691CD7" w:rsidRPr="008F141F" w:rsidRDefault="00691CD7" w:rsidP="00691CD7">
      <w:pPr>
        <w:widowControl w:val="0"/>
        <w:spacing w:beforeLines="60" w:before="144" w:afterLines="60" w:after="144"/>
        <w:ind w:firstLine="720"/>
        <w:jc w:val="both"/>
        <w:rPr>
          <w:lang w:val="nl-NL"/>
        </w:rPr>
      </w:pPr>
      <w:r w:rsidRPr="008F141F">
        <w:rPr>
          <w:lang w:val="nl-NL"/>
        </w:rPr>
        <w:t>- Nghị định số</w:t>
      </w:r>
      <w:r w:rsidR="003654F9" w:rsidRPr="008F141F">
        <w:rPr>
          <w:lang w:val="nl-NL"/>
        </w:rPr>
        <w:t xml:space="preserve"> 82/2023/NĐ-CP ngày 28 tháng </w:t>
      </w:r>
      <w:r w:rsidRPr="008F141F">
        <w:rPr>
          <w:lang w:val="nl-NL"/>
        </w:rPr>
        <w:t>11</w:t>
      </w:r>
      <w:r w:rsidR="003654F9" w:rsidRPr="008F141F">
        <w:rPr>
          <w:lang w:val="nl-NL"/>
        </w:rPr>
        <w:t xml:space="preserve"> năm </w:t>
      </w:r>
      <w:r w:rsidRPr="008F141F">
        <w:rPr>
          <w:lang w:val="nl-NL"/>
        </w:rPr>
        <w:t>2023 của Chính phủ về sửa đổi, bổ sung một số điều của Nghị định số 120/2016/NĐ-CP ngày 23</w:t>
      </w:r>
      <w:r w:rsidR="00533C16" w:rsidRPr="008F141F">
        <w:rPr>
          <w:lang w:val="nl-NL"/>
        </w:rPr>
        <w:t xml:space="preserve"> tháng </w:t>
      </w:r>
      <w:r w:rsidRPr="008F141F">
        <w:rPr>
          <w:lang w:val="nl-NL"/>
        </w:rPr>
        <w:t>8</w:t>
      </w:r>
      <w:r w:rsidR="00533C16" w:rsidRPr="008F141F">
        <w:rPr>
          <w:lang w:val="nl-NL"/>
        </w:rPr>
        <w:t xml:space="preserve"> năm </w:t>
      </w:r>
      <w:r w:rsidRPr="008F141F">
        <w:rPr>
          <w:lang w:val="nl-NL"/>
        </w:rPr>
        <w:t>2016 của Chính phủ quy định chi tiết và hướng dẫn thi hành một</w:t>
      </w:r>
      <w:r w:rsidR="003654F9" w:rsidRPr="008F141F">
        <w:rPr>
          <w:lang w:val="nl-NL"/>
        </w:rPr>
        <w:t xml:space="preserve"> số điều của luật phí và lệ phí;</w:t>
      </w:r>
    </w:p>
    <w:p w:rsidR="00617388" w:rsidRPr="008F141F" w:rsidRDefault="00617388" w:rsidP="00617388">
      <w:pPr>
        <w:widowControl w:val="0"/>
        <w:spacing w:beforeLines="60" w:before="144" w:afterLines="60" w:after="144"/>
        <w:ind w:firstLine="720"/>
        <w:jc w:val="both"/>
        <w:rPr>
          <w:lang w:val="nl-NL"/>
        </w:rPr>
      </w:pPr>
      <w:r w:rsidRPr="008F141F">
        <w:rPr>
          <w:lang w:val="nl-NL"/>
        </w:rPr>
        <w:t xml:space="preserve">- Nghị định số 35/2022/NĐ-CP ngày </w:t>
      </w:r>
      <w:r w:rsidR="00AB1BA0" w:rsidRPr="008F141F">
        <w:rPr>
          <w:lang w:val="nl-NL"/>
        </w:rPr>
        <w:t>2</w:t>
      </w:r>
      <w:r w:rsidRPr="008F141F">
        <w:rPr>
          <w:lang w:val="nl-NL"/>
        </w:rPr>
        <w:t>8</w:t>
      </w:r>
      <w:r w:rsidR="00AB1BA0" w:rsidRPr="008F141F">
        <w:rPr>
          <w:lang w:val="nl-NL"/>
        </w:rPr>
        <w:t xml:space="preserve"> tháng </w:t>
      </w:r>
      <w:r w:rsidRPr="008F141F">
        <w:rPr>
          <w:lang w:val="nl-NL"/>
        </w:rPr>
        <w:t>5</w:t>
      </w:r>
      <w:r w:rsidR="00AB1BA0" w:rsidRPr="008F141F">
        <w:rPr>
          <w:lang w:val="nl-NL"/>
        </w:rPr>
        <w:t xml:space="preserve"> năm </w:t>
      </w:r>
      <w:r w:rsidRPr="008F141F">
        <w:rPr>
          <w:lang w:val="nl-NL"/>
        </w:rPr>
        <w:t>2022 của Chính phủ quy định về quản lý khu công nghiệp và khu kinh tế;</w:t>
      </w:r>
    </w:p>
    <w:p w:rsidR="00B04BBD" w:rsidRPr="008F141F" w:rsidRDefault="00B04BBD" w:rsidP="00EB1127">
      <w:pPr>
        <w:widowControl w:val="0"/>
        <w:spacing w:beforeLines="60" w:before="144" w:afterLines="60" w:after="144"/>
        <w:ind w:firstLine="720"/>
        <w:jc w:val="both"/>
        <w:rPr>
          <w:lang w:val="nl-NL"/>
        </w:rPr>
      </w:pPr>
      <w:r w:rsidRPr="008F141F">
        <w:rPr>
          <w:lang w:val="nl-NL"/>
        </w:rPr>
        <w:t xml:space="preserve">- Thông tư số 85/2019/TT-BTC ngày 29 </w:t>
      </w:r>
      <w:r w:rsidR="006337B7" w:rsidRPr="008F141F">
        <w:rPr>
          <w:lang w:val="nl-NL"/>
        </w:rPr>
        <w:t xml:space="preserve"> tháng </w:t>
      </w:r>
      <w:r w:rsidR="00C575D9" w:rsidRPr="008F141F">
        <w:rPr>
          <w:lang w:val="nl-NL"/>
        </w:rPr>
        <w:t>11</w:t>
      </w:r>
      <w:r w:rsidR="006337B7" w:rsidRPr="008F141F">
        <w:rPr>
          <w:lang w:val="nl-NL"/>
        </w:rPr>
        <w:t xml:space="preserve"> năm</w:t>
      </w:r>
      <w:r w:rsidRPr="008F141F">
        <w:rPr>
          <w:lang w:val="nl-NL"/>
        </w:rPr>
        <w:t xml:space="preserve"> 2019 của Bộ Tài chính hướng dẫn về phí và lệ phí thuộc thẩm quyền quyết định của Hội đồng nhân dân tỉnh, </w:t>
      </w:r>
      <w:r w:rsidR="00A44B2F" w:rsidRPr="008F141F">
        <w:rPr>
          <w:lang w:val="nl-NL"/>
        </w:rPr>
        <w:t>thành phố trực thuộc Trung ương;</w:t>
      </w:r>
    </w:p>
    <w:p w:rsidR="00B04BBD" w:rsidRPr="008F141F" w:rsidRDefault="00B04BBD" w:rsidP="00EB1127">
      <w:pPr>
        <w:widowControl w:val="0"/>
        <w:spacing w:beforeLines="60" w:before="144" w:afterLines="60" w:after="144"/>
        <w:ind w:firstLine="720"/>
        <w:jc w:val="both"/>
        <w:rPr>
          <w:lang w:val="nl-NL"/>
        </w:rPr>
      </w:pPr>
      <w:r w:rsidRPr="008F141F">
        <w:rPr>
          <w:lang w:val="nl-NL"/>
        </w:rPr>
        <w:t>- Thông tư</w:t>
      </w:r>
      <w:r w:rsidR="00A44B2F" w:rsidRPr="008F141F">
        <w:rPr>
          <w:lang w:val="nl-NL"/>
        </w:rPr>
        <w:t xml:space="preserve"> số</w:t>
      </w:r>
      <w:r w:rsidRPr="008F141F">
        <w:rPr>
          <w:lang w:val="nl-NL"/>
        </w:rPr>
        <w:t xml:space="preserve"> 106/2021/TT-</w:t>
      </w:r>
      <w:r w:rsidR="00C575D9" w:rsidRPr="008F141F">
        <w:rPr>
          <w:lang w:val="nl-NL"/>
        </w:rPr>
        <w:t>BTC ngày 26</w:t>
      </w:r>
      <w:r w:rsidR="003654F9" w:rsidRPr="008F141F">
        <w:rPr>
          <w:lang w:val="nl-NL"/>
        </w:rPr>
        <w:t xml:space="preserve"> tháng </w:t>
      </w:r>
      <w:r w:rsidR="00C575D9" w:rsidRPr="008F141F">
        <w:rPr>
          <w:lang w:val="nl-NL"/>
        </w:rPr>
        <w:t>11</w:t>
      </w:r>
      <w:r w:rsidR="003654F9" w:rsidRPr="008F141F">
        <w:rPr>
          <w:lang w:val="nl-NL"/>
        </w:rPr>
        <w:t xml:space="preserve"> năm </w:t>
      </w:r>
      <w:r w:rsidR="00C575D9" w:rsidRPr="008F141F">
        <w:rPr>
          <w:lang w:val="nl-NL"/>
        </w:rPr>
        <w:t>2021 của Bộ Tài c</w:t>
      </w:r>
      <w:r w:rsidRPr="008F141F">
        <w:rPr>
          <w:lang w:val="nl-NL"/>
        </w:rPr>
        <w:t>hính sửa đổi, bổ sung một số điều của Thông tư</w:t>
      </w:r>
      <w:r w:rsidR="00A44B2F" w:rsidRPr="008F141F">
        <w:rPr>
          <w:lang w:val="nl-NL"/>
        </w:rPr>
        <w:t xml:space="preserve"> số</w:t>
      </w:r>
      <w:r w:rsidRPr="008F141F">
        <w:rPr>
          <w:lang w:val="nl-NL"/>
        </w:rPr>
        <w:t xml:space="preserve"> 85/2019/TT-BTC ngày 29</w:t>
      </w:r>
      <w:r w:rsidR="003654F9" w:rsidRPr="008F141F">
        <w:rPr>
          <w:lang w:val="nl-NL"/>
        </w:rPr>
        <w:t xml:space="preserve"> tháng </w:t>
      </w:r>
      <w:r w:rsidRPr="008F141F">
        <w:rPr>
          <w:lang w:val="nl-NL"/>
        </w:rPr>
        <w:t>11</w:t>
      </w:r>
      <w:r w:rsidR="003654F9" w:rsidRPr="008F141F">
        <w:rPr>
          <w:lang w:val="nl-NL"/>
        </w:rPr>
        <w:t xml:space="preserve"> năm </w:t>
      </w:r>
      <w:r w:rsidRPr="008F141F">
        <w:rPr>
          <w:lang w:val="nl-NL"/>
        </w:rPr>
        <w:t>2</w:t>
      </w:r>
      <w:r w:rsidR="00A44B2F" w:rsidRPr="008F141F">
        <w:rPr>
          <w:lang w:val="nl-NL"/>
        </w:rPr>
        <w:t xml:space="preserve">019 </w:t>
      </w:r>
      <w:r w:rsidR="003654F9" w:rsidRPr="008F141F">
        <w:rPr>
          <w:lang w:val="nl-NL"/>
        </w:rPr>
        <w:t xml:space="preserve">của Bộ trưởng Bộ Tài chính </w:t>
      </w:r>
      <w:r w:rsidR="00A44B2F" w:rsidRPr="008F141F">
        <w:rPr>
          <w:lang w:val="nl-NL"/>
        </w:rPr>
        <w:t>hướng dẫn về</w:t>
      </w:r>
      <w:r w:rsidR="003654F9" w:rsidRPr="008F141F">
        <w:rPr>
          <w:lang w:val="nl-NL"/>
        </w:rPr>
        <w:t xml:space="preserve"> về phí và lệ phí thuộc thẩm quyền quyết định của Hội đồng nhân dân tỉnh, thành phố trực thuộc Trung ương</w:t>
      </w:r>
      <w:r w:rsidR="00A44B2F" w:rsidRPr="008F141F">
        <w:rPr>
          <w:lang w:val="nl-NL"/>
        </w:rPr>
        <w:t>;</w:t>
      </w:r>
    </w:p>
    <w:p w:rsidR="00617388" w:rsidRPr="008F141F" w:rsidRDefault="00617388" w:rsidP="00617388">
      <w:pPr>
        <w:widowControl w:val="0"/>
        <w:spacing w:beforeLines="60" w:before="144" w:afterLines="60" w:after="144"/>
        <w:ind w:firstLine="720"/>
        <w:jc w:val="both"/>
        <w:rPr>
          <w:lang w:val="nl-NL"/>
        </w:rPr>
      </w:pPr>
      <w:r w:rsidRPr="008F141F">
        <w:rPr>
          <w:lang w:val="nl-NL"/>
        </w:rPr>
        <w:t>- Quyết định số 200/QĐ-TTg ngày 11</w:t>
      </w:r>
      <w:r w:rsidR="00AB1BA0" w:rsidRPr="008F141F">
        <w:rPr>
          <w:lang w:val="nl-NL"/>
        </w:rPr>
        <w:t xml:space="preserve"> tháng </w:t>
      </w:r>
      <w:r w:rsidRPr="008F141F">
        <w:rPr>
          <w:lang w:val="nl-NL"/>
        </w:rPr>
        <w:t>02</w:t>
      </w:r>
      <w:r w:rsidR="00AB1BA0" w:rsidRPr="008F141F">
        <w:rPr>
          <w:lang w:val="nl-NL"/>
        </w:rPr>
        <w:t xml:space="preserve"> năm </w:t>
      </w:r>
      <w:r w:rsidRPr="008F141F">
        <w:rPr>
          <w:lang w:val="nl-NL"/>
        </w:rPr>
        <w:t>2011 của Thủ tướng Chính phủ về việc thành lập Ban Quản lý Khu kinh tế tỉnh Tây Ninh;</w:t>
      </w:r>
    </w:p>
    <w:p w:rsidR="00617388" w:rsidRPr="008F141F" w:rsidRDefault="00617388" w:rsidP="00617388">
      <w:pPr>
        <w:widowControl w:val="0"/>
        <w:spacing w:beforeLines="60" w:before="144" w:afterLines="60" w:after="144"/>
        <w:ind w:firstLine="720"/>
        <w:jc w:val="both"/>
        <w:rPr>
          <w:lang w:val="nl-NL"/>
        </w:rPr>
      </w:pPr>
      <w:r w:rsidRPr="008F141F">
        <w:rPr>
          <w:lang w:val="nl-NL"/>
        </w:rPr>
        <w:t>- Quyết định số 05/2025/QĐ-UBND ngày 14 tháng 01 năm 2025 của UBND tỉnh Tây Ninh ban hành Quy định chức năng, nhiệm vụ, quyền hạn và cơ cấu tổ chức của Ban Quản lý  Khu kinh tế tỉnh Tây Ninh;</w:t>
      </w:r>
    </w:p>
    <w:p w:rsidR="00617388" w:rsidRPr="008F141F" w:rsidRDefault="00617388" w:rsidP="00617388">
      <w:pPr>
        <w:widowControl w:val="0"/>
        <w:spacing w:beforeLines="60" w:before="144" w:afterLines="60" w:after="144"/>
        <w:ind w:firstLine="720"/>
        <w:jc w:val="both"/>
        <w:rPr>
          <w:lang w:val="nl-NL"/>
        </w:rPr>
      </w:pPr>
      <w:r w:rsidRPr="008F141F">
        <w:rPr>
          <w:lang w:val="nl-NL"/>
        </w:rPr>
        <w:t>- Quyết định số 23/2025/QĐ-UBND ngày 28 tháng 02 năm 2025 của UBND tỉnh Tây Ninh sửa đổi, bổ sung điểm a khoản 2 Điều 3 của Quy định chức năng, nhiệm vụ, quyền hạn và cơ cấu tổ chức của Ban Quản lý Khu kinh tế tỉnh Tây Ninh ban hành kèm theo Quyết định số 05/2025/QĐ-UBND ngày 14 tháng 01 năm 2025 của Ủy ban nhân dân tỉnh Tây Ninh;</w:t>
      </w:r>
    </w:p>
    <w:p w:rsidR="00691CD7" w:rsidRPr="008F141F" w:rsidRDefault="00691CD7" w:rsidP="00691CD7">
      <w:pPr>
        <w:widowControl w:val="0"/>
        <w:spacing w:beforeLines="60" w:before="144" w:afterLines="60" w:after="144"/>
        <w:ind w:firstLine="720"/>
        <w:jc w:val="both"/>
        <w:rPr>
          <w:lang w:val="nl-NL"/>
        </w:rPr>
      </w:pPr>
      <w:r w:rsidRPr="008F141F">
        <w:rPr>
          <w:lang w:val="nl-NL"/>
        </w:rPr>
        <w:lastRenderedPageBreak/>
        <w:t>- Quyết định số 1080/QĐ-UBND ngày 6 tháng 6 năm 2024 của Ủy ban nhân dân tỉnh Tây Ninh về việc tổ chức lại mô hình hoạt động của Ban quản lý cửa khẩu quốc tế Tây Ninh thành Trung tâm quản lý cửa khẩu Tây Ninh trực thuộc Ban Quản lý Khu kinh tế tỉnh Tây Ninh;</w:t>
      </w:r>
    </w:p>
    <w:p w:rsidR="00691CD7" w:rsidRPr="008F141F" w:rsidRDefault="003654F9" w:rsidP="003654F9">
      <w:pPr>
        <w:widowControl w:val="0"/>
        <w:spacing w:beforeLines="60" w:before="144" w:afterLines="60" w:after="144"/>
        <w:ind w:firstLine="720"/>
        <w:jc w:val="both"/>
        <w:rPr>
          <w:lang w:val="nl-NL"/>
        </w:rPr>
      </w:pPr>
      <w:r w:rsidRPr="008F141F">
        <w:rPr>
          <w:lang w:val="nl-NL"/>
        </w:rPr>
        <w:t xml:space="preserve">- </w:t>
      </w:r>
      <w:r w:rsidR="00691CD7" w:rsidRPr="008F141F">
        <w:rPr>
          <w:lang w:val="nl-NL"/>
        </w:rPr>
        <w:t xml:space="preserve">Quyết định số 1081/QĐ-UBND ngày 6 tháng 6 năm 2024 của Chủ tịch Ủy ban nhân dân tỉnh Tây Ninh </w:t>
      </w:r>
      <w:r w:rsidRPr="008F141F">
        <w:rPr>
          <w:lang w:val="nl-NL"/>
        </w:rPr>
        <w:t>ban hành Quy định chức năng, nhiệm vụ, quyền hạn và cơ cấu tổ chức của Trung tâm quản lý cửa khẩu Tây Ninh trực thuộc Ban Quản lý Khu kinh tế tỉnh Tây Ninh</w:t>
      </w:r>
      <w:r w:rsidR="00691CD7" w:rsidRPr="008F141F">
        <w:rPr>
          <w:lang w:val="nl-NL"/>
        </w:rPr>
        <w:t>;</w:t>
      </w:r>
    </w:p>
    <w:p w:rsidR="00617388" w:rsidRPr="008F141F" w:rsidRDefault="00617388" w:rsidP="003654F9">
      <w:pPr>
        <w:widowControl w:val="0"/>
        <w:spacing w:beforeLines="60" w:before="144" w:afterLines="60" w:after="144"/>
        <w:ind w:firstLine="720"/>
        <w:jc w:val="both"/>
        <w:rPr>
          <w:lang w:val="nl-NL"/>
        </w:rPr>
      </w:pPr>
      <w:r w:rsidRPr="008F141F">
        <w:rPr>
          <w:lang w:val="nl-NL"/>
        </w:rPr>
        <w:t>- Quyết định số 240/QĐ-UBND ngày 31 tháng 01 năm 2024 của Ủy ban nhân dân tỉnh Tây Ninh về việc giao trách nhiệm quản lý, điều hành hoạt động tại các cửa khẩu trên địa bàn tỉnh Tây Ninh.</w:t>
      </w:r>
    </w:p>
    <w:p w:rsidR="00B04BBD" w:rsidRPr="008F141F" w:rsidRDefault="00C43636" w:rsidP="00EB1127">
      <w:pPr>
        <w:spacing w:beforeLines="60" w:before="144" w:afterLines="60" w:after="144"/>
        <w:ind w:firstLine="720"/>
        <w:jc w:val="both"/>
        <w:rPr>
          <w:b/>
        </w:rPr>
      </w:pPr>
      <w:r w:rsidRPr="008F141F">
        <w:rPr>
          <w:b/>
        </w:rPr>
        <w:t>2</w:t>
      </w:r>
      <w:r w:rsidR="00B04BBD" w:rsidRPr="008F141F">
        <w:rPr>
          <w:b/>
        </w:rPr>
        <w:t xml:space="preserve">. Sự cần thiết </w:t>
      </w:r>
      <w:r w:rsidR="00BC54DC" w:rsidRPr="008F141F">
        <w:rPr>
          <w:b/>
        </w:rPr>
        <w:t>xây dựng</w:t>
      </w:r>
      <w:r w:rsidR="00B04BBD" w:rsidRPr="008F141F">
        <w:rPr>
          <w:b/>
        </w:rPr>
        <w:t xml:space="preserve"> Đ</w:t>
      </w:r>
      <w:r w:rsidR="00121635" w:rsidRPr="008F141F">
        <w:rPr>
          <w:b/>
        </w:rPr>
        <w:t>ề án</w:t>
      </w:r>
    </w:p>
    <w:p w:rsidR="00E61863" w:rsidRPr="008F141F" w:rsidRDefault="00E61863" w:rsidP="00EB1127">
      <w:pPr>
        <w:spacing w:beforeLines="60" w:before="144" w:afterLines="60" w:after="144"/>
        <w:ind w:firstLine="720"/>
        <w:jc w:val="both"/>
      </w:pPr>
      <w:r w:rsidRPr="008F141F">
        <w:t>Theo quy định tại khoản 1 Điều 27 của Luật Ban hành văn bản quy phạm pháp luật quy định “</w:t>
      </w:r>
      <w:r w:rsidRPr="008F141F">
        <w:rPr>
          <w:i/>
        </w:rPr>
        <w:t>Hội đồng nhân dân cấp tỉnh ban hành nghị quyết để quy định: chi tiết điều, khoản, điểm được giao trong văn bản quy phạm pháp luậ</w:t>
      </w:r>
      <w:r w:rsidR="004C5E75" w:rsidRPr="008F141F">
        <w:rPr>
          <w:i/>
        </w:rPr>
        <w:t>t của cơ quan nhà nước cấp trên</w:t>
      </w:r>
      <w:r w:rsidRPr="008F141F">
        <w:t>”.</w:t>
      </w:r>
    </w:p>
    <w:p w:rsidR="0029356F" w:rsidRPr="008F141F" w:rsidRDefault="00682AE9" w:rsidP="0029356F">
      <w:pPr>
        <w:widowControl w:val="0"/>
        <w:spacing w:beforeLines="60" w:before="144" w:afterLines="60" w:after="144"/>
        <w:ind w:firstLine="720"/>
        <w:jc w:val="both"/>
      </w:pPr>
      <w:r w:rsidRPr="008F141F">
        <w:t>Theo quy định tại</w:t>
      </w:r>
      <w:r w:rsidR="0029356F" w:rsidRPr="008F141F">
        <w:t xml:space="preserve"> Luật phí và lệ phí năm 2015 và các văn bản hướng dẫn</w:t>
      </w:r>
      <w:r w:rsidR="008D3189" w:rsidRPr="008F141F">
        <w:t>, về thẩm quyền quy định mức thu phí, lệ phí thuộc Hội đồng nhân dân cấp tỉnh</w:t>
      </w:r>
      <w:r w:rsidR="0029356F" w:rsidRPr="008F141F">
        <w:t xml:space="preserve">. </w:t>
      </w:r>
      <w:r w:rsidR="008D3189" w:rsidRPr="008F141F">
        <w:t xml:space="preserve">Theo đó, tại </w:t>
      </w:r>
      <w:r w:rsidR="0029356F" w:rsidRPr="008F141F">
        <w:t>Điều 5</w:t>
      </w:r>
      <w:r w:rsidR="00B92470" w:rsidRPr="008F141F">
        <w:rPr>
          <w:rStyle w:val="FootnoteReference"/>
        </w:rPr>
        <w:footnoteReference w:id="3"/>
      </w:r>
      <w:r w:rsidR="0029356F" w:rsidRPr="008F141F">
        <w:t xml:space="preserve"> Thông tư số </w:t>
      </w:r>
      <w:r w:rsidR="006337B7" w:rsidRPr="008F141F">
        <w:rPr>
          <w:lang w:val="nl-NL"/>
        </w:rPr>
        <w:t xml:space="preserve">85/2019/TT-BTC ngày 29 tháng </w:t>
      </w:r>
      <w:r w:rsidR="00B92470" w:rsidRPr="008F141F">
        <w:rPr>
          <w:lang w:val="nl-NL"/>
        </w:rPr>
        <w:t>11</w:t>
      </w:r>
      <w:r w:rsidR="006337B7" w:rsidRPr="008F141F">
        <w:rPr>
          <w:lang w:val="nl-NL"/>
        </w:rPr>
        <w:t xml:space="preserve"> năm </w:t>
      </w:r>
      <w:r w:rsidR="00B92470" w:rsidRPr="008F141F">
        <w:rPr>
          <w:lang w:val="nl-NL"/>
        </w:rPr>
        <w:t>2019 của Bộ tài chính quy định “</w:t>
      </w:r>
      <w:r w:rsidR="00B92470" w:rsidRPr="008F141F">
        <w:rPr>
          <w:i/>
          <w:lang w:val="nl-NL"/>
        </w:rPr>
        <w:t>c</w:t>
      </w:r>
      <w:r w:rsidR="0029356F" w:rsidRPr="008F141F">
        <w:rPr>
          <w:i/>
        </w:rPr>
        <w:t>ăn cứ điều kiện kinh tế - xã hội tại địa phương nơi phát sinh hoạt động cung cấp dịch vụ, thu phí, lệ phí, Hội đồng nhân dân cấp tỉnh quy đ</w:t>
      </w:r>
      <w:r w:rsidR="00B92470" w:rsidRPr="008F141F">
        <w:rPr>
          <w:i/>
        </w:rPr>
        <w:t>ịnh mức thu phí, lệ phí phù hợp</w:t>
      </w:r>
      <w:r w:rsidR="00B92470" w:rsidRPr="008F141F">
        <w:t xml:space="preserve">”. </w:t>
      </w:r>
    </w:p>
    <w:p w:rsidR="00DB60B0" w:rsidRPr="008F141F" w:rsidRDefault="00B04BBD" w:rsidP="00EB1127">
      <w:pPr>
        <w:spacing w:before="120" w:after="120"/>
        <w:ind w:firstLine="720"/>
        <w:jc w:val="both"/>
        <w:rPr>
          <w:bCs/>
        </w:rPr>
      </w:pPr>
      <w:r w:rsidRPr="008F141F">
        <w:t xml:space="preserve">Trên cơ sở kế thừa mức thu phí sử dụng phí sử dụng công trình kết cấu hạ tầng đối với phương tiện ra, vào Cửa khẩu Mộc Bài, Xa Mát </w:t>
      </w:r>
      <w:r w:rsidRPr="008F141F">
        <w:rPr>
          <w:bCs/>
        </w:rPr>
        <w:t>từ tháng 8/2014 theo Nghị quyết số 13/2014/</w:t>
      </w:r>
      <w:r w:rsidR="00F9472B" w:rsidRPr="008F141F">
        <w:rPr>
          <w:bCs/>
        </w:rPr>
        <w:t xml:space="preserve"> NQ-HĐND </w:t>
      </w:r>
      <w:r w:rsidRPr="008F141F">
        <w:rPr>
          <w:bCs/>
        </w:rPr>
        <w:t xml:space="preserve">ngày 16/7/2014 của Hội đồng nhân dân tỉnh Tây Ninh </w:t>
      </w:r>
      <w:r w:rsidRPr="008F141F">
        <w:rPr>
          <w:bCs/>
          <w:i/>
        </w:rPr>
        <w:t>(thu phí cửa khẩu Mộc Bài, Xa Mát);</w:t>
      </w:r>
      <w:r w:rsidRPr="008F141F">
        <w:rPr>
          <w:bCs/>
        </w:rPr>
        <w:t xml:space="preserve"> Nghị quyết số 37/2016/</w:t>
      </w:r>
      <w:r w:rsidR="00F9472B" w:rsidRPr="008F141F">
        <w:rPr>
          <w:bCs/>
        </w:rPr>
        <w:t xml:space="preserve"> NQ-HĐND </w:t>
      </w:r>
      <w:r w:rsidR="00611FDE" w:rsidRPr="008F141F">
        <w:rPr>
          <w:bCs/>
        </w:rPr>
        <w:t xml:space="preserve">ngày 08/12/2016 của Hội đồng nhân dân tỉnh </w:t>
      </w:r>
      <w:r w:rsidRPr="008F141F">
        <w:rPr>
          <w:bCs/>
        </w:rPr>
        <w:t>(</w:t>
      </w:r>
      <w:r w:rsidRPr="008F141F">
        <w:rPr>
          <w:bCs/>
          <w:i/>
        </w:rPr>
        <w:t>bổ sung cửa khẩu thu phí Chàng Riệ</w:t>
      </w:r>
      <w:r w:rsidRPr="008F141F">
        <w:rPr>
          <w:b/>
          <w:bCs/>
          <w:i/>
        </w:rPr>
        <w:t>c</w:t>
      </w:r>
      <w:r w:rsidR="001F55A8" w:rsidRPr="008F141F">
        <w:rPr>
          <w:bCs/>
        </w:rPr>
        <w:t>).</w:t>
      </w:r>
      <w:r w:rsidRPr="008F141F">
        <w:rPr>
          <w:bCs/>
        </w:rPr>
        <w:t xml:space="preserve"> </w:t>
      </w:r>
    </w:p>
    <w:p w:rsidR="00B04BBD" w:rsidRPr="008F141F" w:rsidRDefault="001F55A8" w:rsidP="00AC3F17">
      <w:pPr>
        <w:spacing w:before="120" w:after="120"/>
        <w:ind w:firstLine="720"/>
        <w:jc w:val="both"/>
        <w:rPr>
          <w:lang w:val="nl-NL"/>
        </w:rPr>
      </w:pPr>
      <w:r w:rsidRPr="008F141F">
        <w:rPr>
          <w:bCs/>
        </w:rPr>
        <w:t xml:space="preserve">Hiện nay, trên địa bàn tỉnh Tây Ninh đang áp dụng theo quy định tại </w:t>
      </w:r>
      <w:r w:rsidR="00AF5B99" w:rsidRPr="008F141F">
        <w:rPr>
          <w:bCs/>
        </w:rPr>
        <w:t>Nghị q</w:t>
      </w:r>
      <w:r w:rsidR="00AC3F17" w:rsidRPr="008F141F">
        <w:rPr>
          <w:bCs/>
        </w:rPr>
        <w:t xml:space="preserve">uyết </w:t>
      </w:r>
      <w:r w:rsidR="00F9472B" w:rsidRPr="008F141F">
        <w:rPr>
          <w:bCs/>
        </w:rPr>
        <w:t>số 05/2021/NQ-</w:t>
      </w:r>
      <w:r w:rsidR="00AC3F17" w:rsidRPr="008F141F">
        <w:rPr>
          <w:bCs/>
        </w:rPr>
        <w:t xml:space="preserve">HĐND. </w:t>
      </w:r>
      <w:r w:rsidR="00B04BBD" w:rsidRPr="008F141F">
        <w:rPr>
          <w:lang w:val="nl-NL"/>
        </w:rPr>
        <w:t xml:space="preserve">Qua hơn 03 năm thực hiện, công tác thu phí </w:t>
      </w:r>
      <w:r w:rsidR="00F9472B" w:rsidRPr="008F141F">
        <w:rPr>
          <w:lang w:val="nl-NL"/>
        </w:rPr>
        <w:t xml:space="preserve">công trình kết cấu hạ tầng đối với phương tiện ra, vào cửa khẩu Mộc Bài, Xa Mát, Chàng </w:t>
      </w:r>
      <w:r w:rsidR="00F9472B" w:rsidRPr="008F141F">
        <w:rPr>
          <w:lang w:val="nl-NL"/>
        </w:rPr>
        <w:lastRenderedPageBreak/>
        <w:t xml:space="preserve">Riệc, </w:t>
      </w:r>
      <w:r w:rsidR="00F9472B" w:rsidRPr="008F141F">
        <w:rPr>
          <w:bCs/>
          <w:lang w:val="nl-NL"/>
        </w:rPr>
        <w:t>Tân Nam</w:t>
      </w:r>
      <w:r w:rsidR="00F9472B" w:rsidRPr="008F141F">
        <w:rPr>
          <w:lang w:val="nl-NL"/>
        </w:rPr>
        <w:t xml:space="preserve"> </w:t>
      </w:r>
      <w:r w:rsidR="00B04BBD" w:rsidRPr="008F141F">
        <w:rPr>
          <w:lang w:val="nl-NL"/>
        </w:rPr>
        <w:t>đi vào nề nếp, tạo nguồn thu ổn định cho ngân sách tỉnh</w:t>
      </w:r>
      <w:r w:rsidR="00F9472B" w:rsidRPr="008F141F">
        <w:rPr>
          <w:lang w:val="nl-NL"/>
        </w:rPr>
        <w:t>.</w:t>
      </w:r>
      <w:r w:rsidR="00B04BBD" w:rsidRPr="008F141F">
        <w:rPr>
          <w:lang w:val="nl-NL"/>
        </w:rPr>
        <w:t xml:space="preserve"> </w:t>
      </w:r>
      <w:r w:rsidR="00F9472B" w:rsidRPr="008F141F">
        <w:rPr>
          <w:lang w:val="nl-NL"/>
        </w:rPr>
        <w:t xml:space="preserve">Tuy </w:t>
      </w:r>
      <w:r w:rsidR="00B04BBD" w:rsidRPr="008F141F">
        <w:rPr>
          <w:lang w:val="nl-NL"/>
        </w:rPr>
        <w:t>nhiên</w:t>
      </w:r>
      <w:r w:rsidR="00F9472B" w:rsidRPr="008F141F">
        <w:rPr>
          <w:lang w:val="nl-NL"/>
        </w:rPr>
        <w:t>,</w:t>
      </w:r>
      <w:r w:rsidR="00B04BBD" w:rsidRPr="008F141F">
        <w:rPr>
          <w:lang w:val="nl-NL"/>
        </w:rPr>
        <w:t xml:space="preserve"> </w:t>
      </w:r>
      <w:r w:rsidR="00F9472B" w:rsidRPr="008F141F">
        <w:rPr>
          <w:lang w:val="nl-NL"/>
        </w:rPr>
        <w:t xml:space="preserve">trong quá trình triển khai thực hiện </w:t>
      </w:r>
      <w:r w:rsidR="00F9472B" w:rsidRPr="008F141F">
        <w:rPr>
          <w:bCs/>
        </w:rPr>
        <w:t>Nghị quyết số 05/2021/NQ-HĐND đã phát sinh</w:t>
      </w:r>
      <w:r w:rsidR="00B04BBD" w:rsidRPr="008F141F">
        <w:rPr>
          <w:lang w:val="nl-NL"/>
        </w:rPr>
        <w:t xml:space="preserve"> một số nội dung </w:t>
      </w:r>
      <w:r w:rsidR="00E03DEC" w:rsidRPr="008F141F">
        <w:rPr>
          <w:lang w:val="nl-NL"/>
        </w:rPr>
        <w:t xml:space="preserve">thực tiễn quản lý, điều hành </w:t>
      </w:r>
      <w:r w:rsidR="00B04BBD" w:rsidRPr="008F141F">
        <w:rPr>
          <w:lang w:val="nl-NL"/>
        </w:rPr>
        <w:t xml:space="preserve">cần nghiên cứu </w:t>
      </w:r>
      <w:r w:rsidR="00F9472B" w:rsidRPr="008F141F">
        <w:rPr>
          <w:lang w:val="nl-NL"/>
        </w:rPr>
        <w:t>để xem xét, điều chỉnh. Cụ thể:</w:t>
      </w:r>
    </w:p>
    <w:p w:rsidR="00B04BBD" w:rsidRPr="008F141F" w:rsidRDefault="001F55A8" w:rsidP="00EB1127">
      <w:pPr>
        <w:spacing w:beforeLines="60" w:before="144" w:afterLines="60" w:after="144"/>
        <w:ind w:firstLine="720"/>
        <w:jc w:val="both"/>
        <w:rPr>
          <w:i/>
        </w:rPr>
      </w:pPr>
      <w:r w:rsidRPr="008F141F">
        <w:rPr>
          <w:lang w:val="nl-NL"/>
        </w:rPr>
        <w:t xml:space="preserve">(1) </w:t>
      </w:r>
      <w:r w:rsidR="00A639C4" w:rsidRPr="008F141F">
        <w:rPr>
          <w:lang w:val="nl-NL"/>
        </w:rPr>
        <w:t>Ý</w:t>
      </w:r>
      <w:r w:rsidR="00B04BBD" w:rsidRPr="008F141F">
        <w:rPr>
          <w:lang w:val="nl-NL"/>
        </w:rPr>
        <w:t xml:space="preserve"> </w:t>
      </w:r>
      <w:r w:rsidR="00625E84" w:rsidRPr="008F141F">
        <w:rPr>
          <w:lang w:val="nl-NL"/>
        </w:rPr>
        <w:t xml:space="preserve">kiến </w:t>
      </w:r>
      <w:r w:rsidR="00B04BBD" w:rsidRPr="008F141F">
        <w:rPr>
          <w:lang w:val="nl-NL"/>
        </w:rPr>
        <w:t xml:space="preserve">của Ban pháp chế HĐND tỉnh </w:t>
      </w:r>
      <w:r w:rsidR="00E03DEC" w:rsidRPr="008F141F">
        <w:rPr>
          <w:lang w:val="nl-NL"/>
        </w:rPr>
        <w:t>kiến nghị</w:t>
      </w:r>
      <w:r w:rsidR="00E03DEC" w:rsidRPr="008F141F">
        <w:t xml:space="preserve"> UBND tỉnh </w:t>
      </w:r>
      <w:r w:rsidR="00B04BBD" w:rsidRPr="008F141F">
        <w:rPr>
          <w:lang w:val="nl-NL"/>
        </w:rPr>
        <w:t xml:space="preserve">tại </w:t>
      </w:r>
      <w:r w:rsidR="00B04BBD" w:rsidRPr="008F141F">
        <w:t>Báo cáo số 246/BC-HĐND ngày 14/10/2024 của HĐND tỉnh</w:t>
      </w:r>
      <w:r w:rsidR="00625E84" w:rsidRPr="008F141F">
        <w:t xml:space="preserve"> </w:t>
      </w:r>
      <w:r w:rsidR="00B04BBD" w:rsidRPr="008F141F">
        <w:t>“</w:t>
      </w:r>
      <w:r w:rsidR="00B04BBD" w:rsidRPr="008F141F">
        <w:rPr>
          <w:i/>
          <w:iCs/>
        </w:rPr>
        <w:t>Quan tâm chỉ đạo cơ quan chuyên môn rà soát phí sử dụng công trình, kết cấu hạ tầng đối với phương tiện ra, vào cửa khẩu đối với các mặt hàng quá cảnh, phí bến bãi tại các cửa khẩu để có giải pháp phù hợp trong thời gian tới</w:t>
      </w:r>
      <w:r w:rsidR="00625E84" w:rsidRPr="008F141F">
        <w:t xml:space="preserve">”. </w:t>
      </w:r>
    </w:p>
    <w:p w:rsidR="008D3189" w:rsidRPr="008F141F" w:rsidRDefault="001F55A8" w:rsidP="00EB1127">
      <w:pPr>
        <w:spacing w:beforeLines="60" w:before="144" w:afterLines="60" w:after="144"/>
        <w:ind w:firstLine="720"/>
        <w:jc w:val="both"/>
      </w:pPr>
      <w:r w:rsidRPr="008F141F">
        <w:t xml:space="preserve">(2) </w:t>
      </w:r>
      <w:r w:rsidR="007417C7" w:rsidRPr="008F141F">
        <w:t>Theo quy định tại điểm d khoản 1 Điều 5 Nghị định số 120/2016/NĐ-CP quy định “</w:t>
      </w:r>
      <w:r w:rsidR="007417C7" w:rsidRPr="008F141F">
        <w:rPr>
          <w:i/>
        </w:rPr>
        <w:t>Cơ quan nhà nước có thẩm quyền quy định tại Khoản 2 Điều 4 Luật phí và lệ phí quyết định tỷ lệ để lại cho tổ chức thu phí. Trường hợp các khoản phí có tính chất tương tự, cơ quan có thẩm quyền xem xét quyết định mức tỷ lệ để lại chung áp dụng thống nhất</w:t>
      </w:r>
      <w:r w:rsidR="007417C7" w:rsidRPr="008F141F">
        <w:t>”.</w:t>
      </w:r>
    </w:p>
    <w:p w:rsidR="00B04BBD" w:rsidRPr="008F141F" w:rsidRDefault="007417C7" w:rsidP="00EB1127">
      <w:pPr>
        <w:spacing w:beforeLines="60" w:before="144" w:afterLines="60" w:after="144"/>
        <w:ind w:firstLine="720"/>
        <w:jc w:val="both"/>
        <w:rPr>
          <w:lang w:val="nl-NL"/>
        </w:rPr>
      </w:pPr>
      <w:r w:rsidRPr="008F141F">
        <w:t>Hiện tại, t</w:t>
      </w:r>
      <w:r w:rsidR="00B04BBD" w:rsidRPr="008F141F">
        <w:rPr>
          <w:lang w:val="nl-NL"/>
        </w:rPr>
        <w:t xml:space="preserve">ỷ lệ để lại </w:t>
      </w:r>
      <w:r w:rsidR="00A639C4" w:rsidRPr="008F141F">
        <w:rPr>
          <w:lang w:val="nl-NL"/>
        </w:rPr>
        <w:t xml:space="preserve">cho đơn vị thu phí </w:t>
      </w:r>
      <w:r w:rsidRPr="008F141F">
        <w:rPr>
          <w:lang w:val="nl-NL"/>
        </w:rPr>
        <w:t xml:space="preserve">tại </w:t>
      </w:r>
      <w:r w:rsidRPr="008F141F">
        <w:rPr>
          <w:bCs/>
        </w:rPr>
        <w:t>Nghị quyết số 05/2021/NQ-HĐND</w:t>
      </w:r>
      <w:r w:rsidRPr="008F141F">
        <w:rPr>
          <w:lang w:val="nl-NL"/>
        </w:rPr>
        <w:t xml:space="preserve"> </w:t>
      </w:r>
      <w:r w:rsidR="00B04BBD" w:rsidRPr="008F141F">
        <w:rPr>
          <w:lang w:val="nl-NL"/>
        </w:rPr>
        <w:t xml:space="preserve">ở mỗi cửa khẩu khác </w:t>
      </w:r>
      <w:r w:rsidRPr="008F141F">
        <w:rPr>
          <w:lang w:val="nl-NL"/>
        </w:rPr>
        <w:t>nhau</w:t>
      </w:r>
      <w:r w:rsidR="00FF662E" w:rsidRPr="008F141F">
        <w:rPr>
          <w:lang w:val="nl-NL"/>
        </w:rPr>
        <w:t xml:space="preserve"> trong cùng nội dung thu phí</w:t>
      </w:r>
      <w:r w:rsidRPr="008F141F">
        <w:rPr>
          <w:rStyle w:val="FootnoteReference"/>
          <w:lang w:val="nl-NL"/>
        </w:rPr>
        <w:footnoteReference w:id="4"/>
      </w:r>
      <w:r w:rsidRPr="008F141F">
        <w:rPr>
          <w:lang w:val="nl-NL"/>
        </w:rPr>
        <w:t xml:space="preserve"> trên tổng số phí thu được</w:t>
      </w:r>
      <w:r w:rsidR="000448E4" w:rsidRPr="008F141F">
        <w:rPr>
          <w:lang w:val="nl-NL"/>
        </w:rPr>
        <w:t xml:space="preserve">. Do vậy, </w:t>
      </w:r>
      <w:r w:rsidR="00A639C4" w:rsidRPr="008F141F">
        <w:rPr>
          <w:lang w:val="nl-NL"/>
        </w:rPr>
        <w:t xml:space="preserve">cần điều chỉnh để </w:t>
      </w:r>
      <w:r w:rsidR="000448E4" w:rsidRPr="008F141F">
        <w:rPr>
          <w:lang w:val="nl-NL"/>
        </w:rPr>
        <w:t>đảm bảo quy định “</w:t>
      </w:r>
      <w:r w:rsidR="000448E4" w:rsidRPr="008F141F">
        <w:rPr>
          <w:i/>
        </w:rPr>
        <w:t>mức tỷ lệ để lại chung áp dụng thống nhất</w:t>
      </w:r>
      <w:r w:rsidR="000448E4" w:rsidRPr="008F141F">
        <w:t>” về quy định tỷ lệ để lại cho tổ chức thu phí.</w:t>
      </w:r>
    </w:p>
    <w:p w:rsidR="00FB16E0" w:rsidRPr="008F141F" w:rsidRDefault="001F55A8" w:rsidP="00EB1127">
      <w:pPr>
        <w:spacing w:beforeLines="60" w:before="144" w:afterLines="60" w:after="144"/>
        <w:ind w:firstLine="720"/>
        <w:jc w:val="both"/>
      </w:pPr>
      <w:r w:rsidRPr="008F141F">
        <w:rPr>
          <w:lang w:val="nl-NL"/>
        </w:rPr>
        <w:t xml:space="preserve">(3) </w:t>
      </w:r>
      <w:r w:rsidR="00A810BF" w:rsidRPr="008F141F">
        <w:t xml:space="preserve">Ngoài </w:t>
      </w:r>
      <w:r w:rsidR="00DC2E24" w:rsidRPr="008F141F">
        <w:t>việc quản lý, điều hành</w:t>
      </w:r>
      <w:r w:rsidR="00A639C4" w:rsidRPr="008F141F">
        <w:t xml:space="preserve"> đối với các cửa khẩu quốc tế, cửa khẩu chính </w:t>
      </w:r>
      <w:r w:rsidR="00DC2E24" w:rsidRPr="008F141F">
        <w:t xml:space="preserve"> </w:t>
      </w:r>
      <w:r w:rsidR="00A639C4" w:rsidRPr="008F141F">
        <w:t xml:space="preserve">trong khu kinh tế theo quy định </w:t>
      </w:r>
      <w:r w:rsidR="00DC2E24" w:rsidRPr="008F141F">
        <w:t>(</w:t>
      </w:r>
      <w:r w:rsidR="00DC2E24" w:rsidRPr="008F141F">
        <w:rPr>
          <w:i/>
        </w:rPr>
        <w:t>cửa khẩu quốc tế Mộc Bài, Xa Mát, Tân Nam</w:t>
      </w:r>
      <w:r w:rsidR="00DC2E24" w:rsidRPr="008F141F">
        <w:t xml:space="preserve">), </w:t>
      </w:r>
      <w:r w:rsidR="00A810BF" w:rsidRPr="008F141F">
        <w:t>ngày 31/01/2024 UBND tỉnh ban hành Quyết định 240/QĐ-UBND</w:t>
      </w:r>
      <w:r w:rsidR="00A639C4" w:rsidRPr="008F141F">
        <w:t>. Theo đó</w:t>
      </w:r>
      <w:r w:rsidR="00A810BF" w:rsidRPr="008F141F">
        <w:t xml:space="preserve">, </w:t>
      </w:r>
      <w:r w:rsidR="00DC2E24" w:rsidRPr="008F141F">
        <w:t xml:space="preserve">UBND tỉnh </w:t>
      </w:r>
      <w:r w:rsidR="00FF662E" w:rsidRPr="008F141F">
        <w:t>giao Ban Quản lý Khu kinh tế quản lý</w:t>
      </w:r>
      <w:r w:rsidR="00DC2E24" w:rsidRPr="008F141F">
        <w:t xml:space="preserve"> thêm các cửa khẩu chính ngoài khu kinh tế (</w:t>
      </w:r>
      <w:r w:rsidR="00DC2E24" w:rsidRPr="008F141F">
        <w:rPr>
          <w:i/>
        </w:rPr>
        <w:t>cửa khẩu chính</w:t>
      </w:r>
      <w:r w:rsidR="00FF662E" w:rsidRPr="008F141F">
        <w:rPr>
          <w:i/>
        </w:rPr>
        <w:t xml:space="preserve"> Phước Tân, Kà Tum</w:t>
      </w:r>
      <w:r w:rsidR="00DC2E24" w:rsidRPr="008F141F">
        <w:t>)</w:t>
      </w:r>
      <w:r w:rsidR="00625E84" w:rsidRPr="008F141F">
        <w:t>.</w:t>
      </w:r>
      <w:r w:rsidR="00FF662E" w:rsidRPr="008F141F">
        <w:t xml:space="preserve"> </w:t>
      </w:r>
    </w:p>
    <w:p w:rsidR="00DC2E24" w:rsidRPr="008F141F" w:rsidRDefault="00FF662E" w:rsidP="00EB1127">
      <w:pPr>
        <w:spacing w:beforeLines="60" w:before="144" w:afterLines="60" w:after="144"/>
        <w:ind w:firstLine="720"/>
        <w:jc w:val="both"/>
      </w:pPr>
      <w:r w:rsidRPr="008F141F">
        <w:t>Việc tăng đầu mối quản lý (từ 3 thành 6 cửa khẩu) và mở rộng địa bàn quản lý (</w:t>
      </w:r>
      <w:r w:rsidRPr="008F141F">
        <w:rPr>
          <w:i/>
        </w:rPr>
        <w:t>trải dài 240 km biên giới</w:t>
      </w:r>
      <w:r w:rsidRPr="008F141F">
        <w:t xml:space="preserve">) đòi hỏi cần nguồn lực tổ chức thực hiện nhằm đảm bảo thu đúng, thu đủ đồng thời tránh </w:t>
      </w:r>
      <w:r w:rsidR="00DC2E24" w:rsidRPr="008F141F">
        <w:t xml:space="preserve">sự </w:t>
      </w:r>
      <w:r w:rsidRPr="008F141F">
        <w:t>bất cập</w:t>
      </w:r>
      <w:r w:rsidR="00DC2E24" w:rsidRPr="008F141F">
        <w:t>, so sánh</w:t>
      </w:r>
      <w:r w:rsidRPr="008F141F">
        <w:t xml:space="preserve"> </w:t>
      </w:r>
      <w:r w:rsidR="00DC2E24" w:rsidRPr="008F141F">
        <w:t xml:space="preserve">việc thu phí giữa các cửa khẩu </w:t>
      </w:r>
      <w:r w:rsidR="001008E5" w:rsidRPr="008F141F">
        <w:t xml:space="preserve">chính </w:t>
      </w:r>
      <w:r w:rsidR="00DC2E24" w:rsidRPr="008F141F">
        <w:t>trên cùng địa bàn tỉnh với nhau</w:t>
      </w:r>
      <w:r w:rsidR="00DC2E24" w:rsidRPr="008F141F">
        <w:rPr>
          <w:rStyle w:val="FootnoteReference"/>
        </w:rPr>
        <w:footnoteReference w:id="5"/>
      </w:r>
      <w:r w:rsidR="00DC2E24" w:rsidRPr="008F141F">
        <w:t xml:space="preserve">. </w:t>
      </w:r>
    </w:p>
    <w:p w:rsidR="005C3DC1" w:rsidRPr="008F141F" w:rsidRDefault="005C3DC1" w:rsidP="005C3DC1">
      <w:pPr>
        <w:spacing w:beforeLines="60" w:before="144" w:afterLines="60" w:after="144"/>
        <w:ind w:firstLine="720"/>
        <w:jc w:val="both"/>
      </w:pPr>
      <w:r w:rsidRPr="008F141F">
        <w:t xml:space="preserve">(4) </w:t>
      </w:r>
      <w:r w:rsidR="00625E84" w:rsidRPr="008F141F">
        <w:t>Lưu lượng xe qua lại</w:t>
      </w:r>
      <w:r w:rsidRPr="008F141F">
        <w:t xml:space="preserve"> và</w:t>
      </w:r>
      <w:r w:rsidR="00625E84" w:rsidRPr="008F141F">
        <w:t xml:space="preserve"> </w:t>
      </w:r>
      <w:r w:rsidRPr="008F141F">
        <w:t xml:space="preserve">kim ngạch xuất nhập khẩu hàng hóa </w:t>
      </w:r>
      <w:r w:rsidR="00625E84" w:rsidRPr="008F141F">
        <w:t>tại cửa khẩu chính Phước Tân và Kà Tum lớn</w:t>
      </w:r>
      <w:r w:rsidRPr="008F141F">
        <w:rPr>
          <w:rStyle w:val="FootnoteReference"/>
        </w:rPr>
        <w:footnoteReference w:id="6"/>
      </w:r>
      <w:r w:rsidRPr="008F141F">
        <w:t xml:space="preserve"> là nguồn thu bổ sung ngân sách tiềm năng cho tỉnh. </w:t>
      </w:r>
    </w:p>
    <w:p w:rsidR="0065798C" w:rsidRDefault="001F55A8" w:rsidP="005C3DC1">
      <w:pPr>
        <w:spacing w:beforeLines="60" w:before="144" w:afterLines="60" w:after="144"/>
        <w:ind w:firstLine="720"/>
        <w:jc w:val="both"/>
        <w:rPr>
          <w:lang w:val="nl-NL"/>
        </w:rPr>
      </w:pPr>
      <w:r w:rsidRPr="008F141F">
        <w:rPr>
          <w:lang w:val="nl-NL"/>
        </w:rPr>
        <w:lastRenderedPageBreak/>
        <w:t>(</w:t>
      </w:r>
      <w:r w:rsidR="00FB16E0" w:rsidRPr="008F141F">
        <w:rPr>
          <w:lang w:val="nl-NL"/>
        </w:rPr>
        <w:t>5</w:t>
      </w:r>
      <w:r w:rsidRPr="008F141F">
        <w:rPr>
          <w:lang w:val="nl-NL"/>
        </w:rPr>
        <w:t xml:space="preserve">) </w:t>
      </w:r>
      <w:r w:rsidR="00625E84" w:rsidRPr="008F141F">
        <w:rPr>
          <w:lang w:val="nl-NL"/>
        </w:rPr>
        <w:t>Trong quá trình tổ chức triển khai thực hiện Nghị quyết số 05/2021/NQ-HĐND phát sinh một số đối tượng phương tiện để có thể áp dụng mức thu do chưa được điều chỉnh trong Nghị quyết số 05/2021/NQ-HĐND như: container trên 4</w:t>
      </w:r>
      <w:r w:rsidR="00B602DD" w:rsidRPr="008F141F">
        <w:rPr>
          <w:lang w:val="nl-NL"/>
        </w:rPr>
        <w:t>0</w:t>
      </w:r>
      <w:r w:rsidR="00625E84" w:rsidRPr="008F141F">
        <w:rPr>
          <w:lang w:val="nl-NL"/>
        </w:rPr>
        <w:t xml:space="preserve"> fit, 1 container chở 02 t</w:t>
      </w:r>
      <w:r w:rsidR="0065798C" w:rsidRPr="008F141F">
        <w:rPr>
          <w:lang w:val="nl-NL"/>
        </w:rPr>
        <w:t>hùng container cùng loại 20 fit.</w:t>
      </w:r>
    </w:p>
    <w:p w:rsidR="00FA7E07" w:rsidRPr="0026421C" w:rsidRDefault="00FA7E07" w:rsidP="005C3DC1">
      <w:pPr>
        <w:spacing w:beforeLines="60" w:before="144" w:afterLines="60" w:after="144"/>
        <w:ind w:firstLine="720"/>
        <w:jc w:val="both"/>
        <w:rPr>
          <w:color w:val="FF0000"/>
          <w:lang w:val="nl-NL"/>
        </w:rPr>
      </w:pPr>
      <w:r w:rsidRPr="0026421C">
        <w:rPr>
          <w:color w:val="FF0000"/>
          <w:lang w:val="nl-NL"/>
        </w:rPr>
        <w:t xml:space="preserve">(6) Việc áp dụng mức thu theo </w:t>
      </w:r>
      <w:r w:rsidRPr="0026421C">
        <w:rPr>
          <w:color w:val="FF0000"/>
        </w:rPr>
        <w:t xml:space="preserve">chủng loại hàng hóa, chưa phân biệt theo tải trọng phương tiện, nên còn tình trạng cùng một loại phương tiện ảnh hưởng đến kết cấu hạ tầng như nhau nhưng mức thu </w:t>
      </w:r>
      <w:r w:rsidR="0026421C">
        <w:rPr>
          <w:color w:val="FF0000"/>
        </w:rPr>
        <w:t xml:space="preserve">áp dụng </w:t>
      </w:r>
      <w:r w:rsidRPr="0026421C">
        <w:rPr>
          <w:color w:val="FF0000"/>
        </w:rPr>
        <w:t>lại khác nhau.</w:t>
      </w:r>
    </w:p>
    <w:p w:rsidR="0026421C" w:rsidRDefault="00FA7E07" w:rsidP="0026421C">
      <w:pPr>
        <w:spacing w:before="120" w:after="60"/>
        <w:ind w:firstLine="720"/>
        <w:jc w:val="both"/>
      </w:pPr>
      <w:r>
        <w:rPr>
          <w:lang w:val="nl-NL"/>
        </w:rPr>
        <w:t>(7</w:t>
      </w:r>
      <w:r w:rsidR="004C5E75" w:rsidRPr="008F141F">
        <w:rPr>
          <w:lang w:val="nl-NL"/>
        </w:rPr>
        <w:t>) UBND</w:t>
      </w:r>
      <w:r w:rsidR="00BE0ADF" w:rsidRPr="008F141F">
        <w:rPr>
          <w:lang w:val="nl-NL"/>
        </w:rPr>
        <w:t xml:space="preserve"> tỉnh </w:t>
      </w:r>
      <w:r w:rsidR="0026421C">
        <w:rPr>
          <w:lang w:val="nl-NL"/>
        </w:rPr>
        <w:t>(</w:t>
      </w:r>
      <w:r w:rsidR="00BE0ADF" w:rsidRPr="0026421C">
        <w:rPr>
          <w:i/>
          <w:lang w:val="nl-NL"/>
        </w:rPr>
        <w:t>văn bản số 0793/VP-TH ngày 25/3/2025 theo báo cáo đề xuất của Ban Quản lý Khu kinh tế tại Báo cáo số 32/BC-BQLKKT</w:t>
      </w:r>
      <w:r w:rsidR="00BE0ADF" w:rsidRPr="0026421C">
        <w:rPr>
          <w:rStyle w:val="FootnoteReference"/>
          <w:i/>
          <w:lang w:val="nl-NL"/>
        </w:rPr>
        <w:footnoteReference w:id="7"/>
      </w:r>
      <w:r w:rsidR="0026421C">
        <w:rPr>
          <w:i/>
          <w:lang w:val="nl-NL"/>
        </w:rPr>
        <w:t xml:space="preserve"> ngày tháng 02/2025</w:t>
      </w:r>
      <w:r w:rsidR="0026421C">
        <w:rPr>
          <w:lang w:val="nl-NL"/>
        </w:rPr>
        <w:t>) và Thường trực HĐND (</w:t>
      </w:r>
      <w:r w:rsidR="0026421C" w:rsidRPr="0026421C">
        <w:rPr>
          <w:i/>
          <w:color w:val="FF0000"/>
        </w:rPr>
        <w:t>Biên bản số 116/BB-H</w:t>
      </w:r>
      <w:r w:rsidR="0026421C" w:rsidRPr="0026421C">
        <w:rPr>
          <w:rFonts w:hint="eastAsia"/>
          <w:i/>
          <w:color w:val="FF0000"/>
        </w:rPr>
        <w:t>Đ</w:t>
      </w:r>
      <w:r w:rsidR="0026421C" w:rsidRPr="0026421C">
        <w:rPr>
          <w:i/>
          <w:color w:val="FF0000"/>
        </w:rPr>
        <w:t>ND ngày 05/6/2025 của Th</w:t>
      </w:r>
      <w:r w:rsidR="0026421C" w:rsidRPr="0026421C">
        <w:rPr>
          <w:rFonts w:hint="eastAsia"/>
          <w:i/>
          <w:color w:val="FF0000"/>
        </w:rPr>
        <w:t>ư</w:t>
      </w:r>
      <w:r w:rsidR="0026421C" w:rsidRPr="0026421C">
        <w:rPr>
          <w:i/>
          <w:color w:val="FF0000"/>
        </w:rPr>
        <w:t>ờng trực H</w:t>
      </w:r>
      <w:r w:rsidR="0026421C" w:rsidRPr="0026421C">
        <w:rPr>
          <w:rFonts w:hint="eastAsia"/>
          <w:i/>
          <w:color w:val="FF0000"/>
        </w:rPr>
        <w:t>Đ</w:t>
      </w:r>
      <w:r w:rsidR="0026421C" w:rsidRPr="0026421C">
        <w:rPr>
          <w:i/>
          <w:color w:val="FF0000"/>
        </w:rPr>
        <w:t>ND tỉnh Biên bản họp Th</w:t>
      </w:r>
      <w:r w:rsidR="0026421C" w:rsidRPr="0026421C">
        <w:rPr>
          <w:rFonts w:hint="eastAsia"/>
          <w:i/>
          <w:color w:val="FF0000"/>
        </w:rPr>
        <w:t>ư</w:t>
      </w:r>
      <w:r w:rsidR="0026421C" w:rsidRPr="0026421C">
        <w:rPr>
          <w:i/>
          <w:color w:val="FF0000"/>
        </w:rPr>
        <w:t xml:space="preserve">ờng trực </w:t>
      </w:r>
      <w:r w:rsidR="0026421C" w:rsidRPr="0026421C">
        <w:rPr>
          <w:rFonts w:hint="eastAsia"/>
          <w:i/>
          <w:color w:val="FF0000"/>
        </w:rPr>
        <w:t>đ</w:t>
      </w:r>
      <w:r w:rsidR="0026421C" w:rsidRPr="0026421C">
        <w:rPr>
          <w:i/>
          <w:color w:val="FF0000"/>
        </w:rPr>
        <w:t>ịnh kỳ tháng 6/2025; Công v</w:t>
      </w:r>
      <w:r w:rsidR="0026421C" w:rsidRPr="0026421C">
        <w:rPr>
          <w:rFonts w:hint="eastAsia"/>
          <w:i/>
          <w:color w:val="FF0000"/>
        </w:rPr>
        <w:t>ă</w:t>
      </w:r>
      <w:r w:rsidR="0026421C" w:rsidRPr="0026421C">
        <w:rPr>
          <w:i/>
          <w:color w:val="FF0000"/>
        </w:rPr>
        <w:t>n số  117/BB-H</w:t>
      </w:r>
      <w:r w:rsidR="0026421C" w:rsidRPr="0026421C">
        <w:rPr>
          <w:rFonts w:hint="eastAsia"/>
          <w:i/>
          <w:color w:val="FF0000"/>
        </w:rPr>
        <w:t>Đ</w:t>
      </w:r>
      <w:r w:rsidR="0026421C" w:rsidRPr="0026421C">
        <w:rPr>
          <w:i/>
          <w:color w:val="FF0000"/>
        </w:rPr>
        <w:t>ND ngày 05/6/2025 của Th</w:t>
      </w:r>
      <w:r w:rsidR="0026421C" w:rsidRPr="0026421C">
        <w:rPr>
          <w:rFonts w:hint="eastAsia"/>
          <w:i/>
          <w:color w:val="FF0000"/>
        </w:rPr>
        <w:t>ư</w:t>
      </w:r>
      <w:r w:rsidR="0026421C" w:rsidRPr="0026421C">
        <w:rPr>
          <w:i/>
          <w:color w:val="FF0000"/>
        </w:rPr>
        <w:t>ờng trực H</w:t>
      </w:r>
      <w:r w:rsidR="0026421C" w:rsidRPr="0026421C">
        <w:rPr>
          <w:rFonts w:hint="eastAsia"/>
          <w:i/>
          <w:color w:val="FF0000"/>
        </w:rPr>
        <w:t>Đ</w:t>
      </w:r>
      <w:r w:rsidR="0026421C" w:rsidRPr="0026421C">
        <w:rPr>
          <w:i/>
          <w:color w:val="FF0000"/>
        </w:rPr>
        <w:t>ND tỉnh về việc cho ý kiến các nội dung do UBND tỉnh trình Th</w:t>
      </w:r>
      <w:r w:rsidR="0026421C" w:rsidRPr="0026421C">
        <w:rPr>
          <w:rFonts w:hint="eastAsia"/>
          <w:i/>
          <w:color w:val="FF0000"/>
        </w:rPr>
        <w:t>ư</w:t>
      </w:r>
      <w:r w:rsidR="0026421C" w:rsidRPr="0026421C">
        <w:rPr>
          <w:i/>
          <w:color w:val="FF0000"/>
        </w:rPr>
        <w:t>ờng trực H</w:t>
      </w:r>
      <w:r w:rsidR="0026421C" w:rsidRPr="0026421C">
        <w:rPr>
          <w:rFonts w:hint="eastAsia"/>
          <w:i/>
          <w:color w:val="FF0000"/>
        </w:rPr>
        <w:t>Đ</w:t>
      </w:r>
      <w:r w:rsidR="0026421C" w:rsidRPr="0026421C">
        <w:rPr>
          <w:i/>
          <w:color w:val="FF0000"/>
        </w:rPr>
        <w:t>ND tỉnh</w:t>
      </w:r>
      <w:r w:rsidR="0026421C">
        <w:t xml:space="preserve">) </w:t>
      </w:r>
      <w:r w:rsidR="0026421C" w:rsidRPr="008F141F">
        <w:rPr>
          <w:lang w:val="nl-NL"/>
        </w:rPr>
        <w:t>thống nhất chủ trương điều chỉnh Nghị quyết số 05/2021/NQ-HĐND</w:t>
      </w:r>
      <w:r w:rsidR="0026421C">
        <w:rPr>
          <w:lang w:val="nl-NL"/>
        </w:rPr>
        <w:t>.</w:t>
      </w:r>
    </w:p>
    <w:p w:rsidR="00E03DEC" w:rsidRPr="008F141F" w:rsidRDefault="00E03DEC" w:rsidP="00E03DEC">
      <w:pPr>
        <w:spacing w:before="120" w:after="120"/>
        <w:ind w:firstLine="720"/>
        <w:jc w:val="both"/>
      </w:pPr>
      <w:r w:rsidRPr="008F141F">
        <w:rPr>
          <w:lang w:val="nl-NL"/>
        </w:rPr>
        <w:t xml:space="preserve">Do vậy, </w:t>
      </w:r>
      <w:r w:rsidRPr="008F141F">
        <w:t xml:space="preserve">việc điều chỉnh Nghị quyết số 05/2021/NQ-HĐND là cần thiết và phù hợp tình hình thực tiễn. </w:t>
      </w:r>
    </w:p>
    <w:p w:rsidR="006D7BA5" w:rsidRPr="008F141F" w:rsidRDefault="006D7BA5" w:rsidP="00FE0F79">
      <w:pPr>
        <w:spacing w:before="120" w:after="120"/>
        <w:ind w:firstLine="720"/>
        <w:jc w:val="both"/>
        <w:rPr>
          <w:color w:val="000000" w:themeColor="text1"/>
        </w:rPr>
      </w:pPr>
    </w:p>
    <w:p w:rsidR="00755FB4" w:rsidRPr="008F141F" w:rsidRDefault="00755FB4" w:rsidP="0073441D">
      <w:pPr>
        <w:spacing w:beforeLines="20" w:before="48" w:afterLines="20" w:after="48"/>
        <w:jc w:val="center"/>
        <w:rPr>
          <w:b/>
          <w:bCs/>
          <w:lang w:val="vi-VN"/>
        </w:rPr>
      </w:pPr>
      <w:r w:rsidRPr="008F141F">
        <w:rPr>
          <w:b/>
          <w:bCs/>
          <w:lang w:val="vi-VN"/>
        </w:rPr>
        <w:t>PHẦN III</w:t>
      </w:r>
    </w:p>
    <w:p w:rsidR="00755FB4" w:rsidRPr="008F141F" w:rsidRDefault="00755FB4" w:rsidP="0073441D">
      <w:pPr>
        <w:spacing w:beforeLines="20" w:before="48" w:afterLines="20" w:after="48"/>
        <w:jc w:val="center"/>
        <w:rPr>
          <w:b/>
          <w:bCs/>
          <w:lang w:val="vi-VN"/>
        </w:rPr>
      </w:pPr>
      <w:r w:rsidRPr="008F141F">
        <w:rPr>
          <w:b/>
          <w:bCs/>
          <w:lang w:val="vi-VN"/>
        </w:rPr>
        <w:t>NỘI DUNG ĐỀ ÁN</w:t>
      </w:r>
    </w:p>
    <w:p w:rsidR="00755FB4" w:rsidRPr="008F141F" w:rsidRDefault="00755FB4" w:rsidP="00EB1127">
      <w:pPr>
        <w:spacing w:beforeLines="20" w:before="48" w:afterLines="20" w:after="48"/>
        <w:ind w:left="2880" w:firstLine="720"/>
        <w:jc w:val="both"/>
        <w:rPr>
          <w:b/>
          <w:bCs/>
          <w:lang w:val="vi-VN"/>
        </w:rPr>
      </w:pPr>
    </w:p>
    <w:p w:rsidR="00DB30A1" w:rsidRPr="008F141F" w:rsidRDefault="00DB30A1" w:rsidP="00BF0276">
      <w:pPr>
        <w:ind w:firstLine="720"/>
        <w:jc w:val="both"/>
        <w:rPr>
          <w:b/>
          <w:bCs/>
          <w:lang w:val="vi-VN"/>
        </w:rPr>
      </w:pPr>
      <w:r w:rsidRPr="008F141F">
        <w:rPr>
          <w:b/>
          <w:bCs/>
          <w:lang w:val="en-GB"/>
        </w:rPr>
        <w:t>I</w:t>
      </w:r>
      <w:r w:rsidRPr="008F141F">
        <w:rPr>
          <w:b/>
          <w:bCs/>
          <w:lang w:val="vi-VN"/>
        </w:rPr>
        <w:t>. TÊN ĐỀ ÁN</w:t>
      </w:r>
    </w:p>
    <w:p w:rsidR="00BF0276" w:rsidRPr="008F141F" w:rsidRDefault="00BF0276" w:rsidP="00BF0276">
      <w:pPr>
        <w:ind w:firstLine="720"/>
        <w:jc w:val="both"/>
      </w:pPr>
      <w:r w:rsidRPr="008F141F">
        <w:t xml:space="preserve">Xây dựng Nghị quyết Quy định mức thu, chế độ thu, nộp, quản lý và sử dụng phí sử dụng công trình kết cấu hạ tầng đối với phương tiện ra, vào cửa khẩu </w:t>
      </w:r>
      <w:r w:rsidR="00DA7BB9" w:rsidRPr="008F141F">
        <w:t>quốc tế</w:t>
      </w:r>
      <w:r w:rsidRPr="008F141F">
        <w:t xml:space="preserve">, cửa khẩu </w:t>
      </w:r>
      <w:r w:rsidR="00DA7BB9" w:rsidRPr="008F141F">
        <w:t xml:space="preserve">chính </w:t>
      </w:r>
      <w:r w:rsidRPr="008F141F">
        <w:t>trên địa bàn tỉnh Tây Ninh (</w:t>
      </w:r>
      <w:r w:rsidRPr="008F141F">
        <w:rPr>
          <w:i/>
        </w:rPr>
        <w:t>Nghị quyết thay thế Nghị quyết số 05/2021/NQ-HĐND ngày 01 tháng 7 năm 2021 của Hội đồng nhân dân tỉnh Tây Ninh</w:t>
      </w:r>
      <w:r w:rsidRPr="008F141F">
        <w:t>)</w:t>
      </w:r>
      <w:r w:rsidR="0088768A" w:rsidRPr="008F141F">
        <w:t>.</w:t>
      </w:r>
    </w:p>
    <w:p w:rsidR="00755FB4" w:rsidRPr="008F141F" w:rsidRDefault="00DB30A1" w:rsidP="00BF0276">
      <w:pPr>
        <w:ind w:firstLine="720"/>
        <w:jc w:val="both"/>
        <w:rPr>
          <w:b/>
          <w:bCs/>
          <w:lang w:val="vi-VN"/>
        </w:rPr>
      </w:pPr>
      <w:r w:rsidRPr="008F141F">
        <w:rPr>
          <w:b/>
          <w:bCs/>
          <w:lang w:val="en-GB"/>
        </w:rPr>
        <w:t>II</w:t>
      </w:r>
      <w:r w:rsidRPr="008F141F">
        <w:rPr>
          <w:b/>
          <w:bCs/>
          <w:lang w:val="vi-VN"/>
        </w:rPr>
        <w:t>. PHẠM VI, ĐỐI TƯỢNG THU</w:t>
      </w:r>
    </w:p>
    <w:p w:rsidR="00755FB4" w:rsidRPr="008F141F" w:rsidRDefault="00755FB4" w:rsidP="00BF0276">
      <w:pPr>
        <w:spacing w:beforeLines="60" w:before="144" w:afterLines="60" w:after="144"/>
        <w:jc w:val="both"/>
        <w:rPr>
          <w:bCs/>
        </w:rPr>
      </w:pPr>
      <w:r w:rsidRPr="008F141F">
        <w:rPr>
          <w:bCs/>
          <w:lang w:val="vi-VN"/>
        </w:rPr>
        <w:tab/>
        <w:t xml:space="preserve">- Phạm vi: Thu phí sử dụng công trình kết cấu hạ tầng đối với phương tiện ra, vào </w:t>
      </w:r>
      <w:r w:rsidR="00BF0276" w:rsidRPr="008F141F">
        <w:t xml:space="preserve">cửa khẩu </w:t>
      </w:r>
      <w:r w:rsidR="00DA7BB9" w:rsidRPr="008F141F">
        <w:t>quốc tế</w:t>
      </w:r>
      <w:r w:rsidR="00BF0276" w:rsidRPr="008F141F">
        <w:t xml:space="preserve">, cửa khẩu </w:t>
      </w:r>
      <w:r w:rsidR="00DA7BB9" w:rsidRPr="008F141F">
        <w:t xml:space="preserve">chính </w:t>
      </w:r>
      <w:r w:rsidR="00BF0276" w:rsidRPr="008F141F">
        <w:t>trên địa bàn tỉnh Tây Ninh.</w:t>
      </w:r>
    </w:p>
    <w:p w:rsidR="00052DD3" w:rsidRPr="008F141F" w:rsidRDefault="00052DD3" w:rsidP="00EB1127">
      <w:pPr>
        <w:spacing w:beforeLines="60" w:before="144" w:afterLines="60" w:after="144"/>
        <w:ind w:firstLine="720"/>
        <w:jc w:val="both"/>
        <w:rPr>
          <w:bCs/>
          <w:lang w:val="en-GB"/>
        </w:rPr>
      </w:pPr>
      <w:r w:rsidRPr="00052DD3">
        <w:rPr>
          <w:bCs/>
          <w:lang w:val="en-GB"/>
        </w:rPr>
        <w:t xml:space="preserve">Đối tượng thu: Các tổ chức, cá nhân hoạt động kinh doanh, dịch vụ có phương tiện chở khách (các loại xe khách có chở khách) và phương tiện vận tải chở hàng hóa (các loại xe có chở hàng hóa) xuất, nhập khẩu ra, vào cửa khẩu quốc tế, </w:t>
      </w:r>
      <w:r w:rsidRPr="00052DD3">
        <w:rPr>
          <w:bCs/>
          <w:lang w:val="en-GB"/>
        </w:rPr>
        <w:lastRenderedPageBreak/>
        <w:t>cửa khẩu chính (áp dụng cả phương tiện chở khách và phương tiện vận tải chở hàng</w:t>
      </w:r>
      <w:r w:rsidR="00C77B40">
        <w:rPr>
          <w:bCs/>
          <w:lang w:val="en-GB"/>
        </w:rPr>
        <w:t xml:space="preserve"> hóa của Campuchia khi ra, vào </w:t>
      </w:r>
      <w:r w:rsidRPr="00052DD3">
        <w:rPr>
          <w:bCs/>
          <w:lang w:val="en-GB"/>
        </w:rPr>
        <w:t>cửa khẩu).</w:t>
      </w:r>
    </w:p>
    <w:p w:rsidR="00755FB4" w:rsidRPr="008F141F" w:rsidRDefault="00DB30A1" w:rsidP="00EB1127">
      <w:pPr>
        <w:spacing w:beforeLines="60" w:before="144" w:afterLines="60" w:after="144"/>
        <w:ind w:firstLine="720"/>
        <w:jc w:val="both"/>
        <w:rPr>
          <w:b/>
          <w:bCs/>
          <w:lang w:val="vi-VN"/>
        </w:rPr>
      </w:pPr>
      <w:r w:rsidRPr="008F141F">
        <w:rPr>
          <w:b/>
          <w:bCs/>
          <w:lang w:val="en-GB"/>
        </w:rPr>
        <w:t>III</w:t>
      </w:r>
      <w:r w:rsidRPr="008F141F">
        <w:rPr>
          <w:b/>
          <w:bCs/>
          <w:lang w:val="vi-VN"/>
        </w:rPr>
        <w:t xml:space="preserve">. ĐƠN VỊ THU </w:t>
      </w:r>
    </w:p>
    <w:p w:rsidR="00755FB4" w:rsidRDefault="00474D44" w:rsidP="00EB1127">
      <w:pPr>
        <w:spacing w:beforeLines="60" w:before="144" w:afterLines="60" w:after="144"/>
        <w:ind w:firstLine="720"/>
        <w:jc w:val="both"/>
        <w:rPr>
          <w:bCs/>
          <w:lang w:val="vi-VN"/>
        </w:rPr>
      </w:pPr>
      <w:r>
        <w:rPr>
          <w:bCs/>
        </w:rPr>
        <w:t xml:space="preserve">- </w:t>
      </w:r>
      <w:r w:rsidR="000037A1" w:rsidRPr="008F141F">
        <w:rPr>
          <w:bCs/>
          <w:lang w:val="vi-VN"/>
        </w:rPr>
        <w:t>Trung tâm q</w:t>
      </w:r>
      <w:r w:rsidR="0073441D" w:rsidRPr="008F141F">
        <w:rPr>
          <w:bCs/>
          <w:lang w:val="vi-VN"/>
        </w:rPr>
        <w:t xml:space="preserve">uản lý </w:t>
      </w:r>
      <w:r w:rsidR="0073441D" w:rsidRPr="008F141F">
        <w:rPr>
          <w:bCs/>
        </w:rPr>
        <w:t>c</w:t>
      </w:r>
      <w:r w:rsidR="00755FB4" w:rsidRPr="008F141F">
        <w:rPr>
          <w:bCs/>
          <w:lang w:val="vi-VN"/>
        </w:rPr>
        <w:t>ửa khẩu Tây Ninh trực thuộc Ban Quản lý Khu kinh tế tỉnh Tây Ninh</w:t>
      </w:r>
      <w:r w:rsidR="00D92C9D" w:rsidRPr="008F141F">
        <w:rPr>
          <w:rStyle w:val="FootnoteReference"/>
          <w:bCs/>
          <w:lang w:val="vi-VN"/>
        </w:rPr>
        <w:footnoteReference w:id="8"/>
      </w:r>
      <w:r w:rsidR="00755FB4" w:rsidRPr="008F141F">
        <w:rPr>
          <w:bCs/>
          <w:lang w:val="vi-VN"/>
        </w:rPr>
        <w:t xml:space="preserve"> chủ trì tổ chức thu, xây dựng quy trình thu và dự toán chi phí cần thiết cho các hoạt động cung cấp dịch vụ cửa khẩu và chi phí thu tại cửa khẩu quốc tế, cửa khẩu </w:t>
      </w:r>
      <w:r w:rsidR="00755FB4" w:rsidRPr="00277AB2">
        <w:rPr>
          <w:bCs/>
          <w:lang w:val="vi-VN"/>
        </w:rPr>
        <w:t xml:space="preserve">chính </w:t>
      </w:r>
      <w:r w:rsidRPr="00277AB2">
        <w:rPr>
          <w:bCs/>
        </w:rPr>
        <w:t>trong quy hoạch Khu kinh tế cửa khẩu</w:t>
      </w:r>
      <w:r w:rsidR="00755FB4" w:rsidRPr="00277AB2">
        <w:rPr>
          <w:bCs/>
          <w:lang w:val="vi-VN"/>
        </w:rPr>
        <w:t>.</w:t>
      </w:r>
    </w:p>
    <w:p w:rsidR="00474D44" w:rsidRPr="001502A7" w:rsidRDefault="00474D44" w:rsidP="00EB1127">
      <w:pPr>
        <w:spacing w:beforeLines="60" w:before="144" w:afterLines="60" w:after="144"/>
        <w:ind w:firstLine="720"/>
        <w:jc w:val="both"/>
        <w:rPr>
          <w:bCs/>
          <w:color w:val="FF0000"/>
        </w:rPr>
      </w:pPr>
      <w:r w:rsidRPr="001502A7">
        <w:rPr>
          <w:bCs/>
          <w:color w:val="FF0000"/>
        </w:rPr>
        <w:t>- Đối với các cửa khẩu chính ngoài quy hoạch Khu kinh tế</w:t>
      </w:r>
      <w:r w:rsidR="00D04DF7">
        <w:rPr>
          <w:bCs/>
          <w:color w:val="FF0000"/>
        </w:rPr>
        <w:t xml:space="preserve">, căn cứ tình hình </w:t>
      </w:r>
      <w:r w:rsidR="00FB61D1">
        <w:rPr>
          <w:color w:val="FF0000"/>
        </w:rPr>
        <w:t xml:space="preserve">thực tế </w:t>
      </w:r>
      <w:r w:rsidR="00D04DF7">
        <w:rPr>
          <w:bCs/>
          <w:color w:val="FF0000"/>
        </w:rPr>
        <w:t>của chính quyền địa phương (cấp xã sau khi sáp nhập)</w:t>
      </w:r>
      <w:r w:rsidRPr="001502A7">
        <w:rPr>
          <w:bCs/>
          <w:color w:val="FF0000"/>
        </w:rPr>
        <w:t xml:space="preserve"> </w:t>
      </w:r>
      <w:r w:rsidR="0026421C">
        <w:rPr>
          <w:bCs/>
          <w:color w:val="FF0000"/>
        </w:rPr>
        <w:t xml:space="preserve">Ủy </w:t>
      </w:r>
      <w:r w:rsidR="00E206F0">
        <w:rPr>
          <w:bCs/>
          <w:color w:val="FF0000"/>
        </w:rPr>
        <w:t xml:space="preserve">ban </w:t>
      </w:r>
      <w:r w:rsidR="0026421C">
        <w:rPr>
          <w:bCs/>
          <w:color w:val="FF0000"/>
        </w:rPr>
        <w:t xml:space="preserve">nhân dân tỉnh </w:t>
      </w:r>
      <w:r w:rsidR="00052DD3">
        <w:rPr>
          <w:bCs/>
          <w:color w:val="FF0000"/>
        </w:rPr>
        <w:t xml:space="preserve">giao </w:t>
      </w:r>
      <w:r w:rsidR="008C053D">
        <w:rPr>
          <w:bCs/>
          <w:color w:val="FF0000"/>
        </w:rPr>
        <w:t>đơn vị tổ chức</w:t>
      </w:r>
      <w:r w:rsidR="0026421C">
        <w:rPr>
          <w:bCs/>
          <w:color w:val="FF0000"/>
        </w:rPr>
        <w:t xml:space="preserve"> thực hiện</w:t>
      </w:r>
      <w:r w:rsidRPr="001502A7">
        <w:rPr>
          <w:bCs/>
          <w:color w:val="FF0000"/>
        </w:rPr>
        <w:t>.</w:t>
      </w:r>
    </w:p>
    <w:p w:rsidR="00755FB4" w:rsidRPr="008F141F" w:rsidRDefault="00DB30A1" w:rsidP="00EB1127">
      <w:pPr>
        <w:spacing w:beforeLines="60" w:before="144" w:afterLines="60" w:after="144"/>
        <w:ind w:firstLine="720"/>
        <w:jc w:val="both"/>
        <w:rPr>
          <w:b/>
          <w:bCs/>
        </w:rPr>
      </w:pPr>
      <w:r w:rsidRPr="008F141F">
        <w:rPr>
          <w:b/>
          <w:bCs/>
        </w:rPr>
        <w:t>IV. NỘI DUNG THU</w:t>
      </w:r>
    </w:p>
    <w:p w:rsidR="00755FB4" w:rsidRPr="008F141F" w:rsidRDefault="00DB30A1" w:rsidP="00EB1127">
      <w:pPr>
        <w:spacing w:beforeLines="60" w:before="144" w:afterLines="60" w:after="144"/>
        <w:ind w:firstLine="720"/>
        <w:jc w:val="both"/>
        <w:rPr>
          <w:b/>
          <w:bCs/>
        </w:rPr>
      </w:pPr>
      <w:r w:rsidRPr="008F141F">
        <w:rPr>
          <w:b/>
          <w:bCs/>
        </w:rPr>
        <w:t>1</w:t>
      </w:r>
      <w:r w:rsidR="00A45728" w:rsidRPr="008F141F">
        <w:rPr>
          <w:b/>
          <w:bCs/>
        </w:rPr>
        <w:t>. Mức thu phí</w:t>
      </w:r>
      <w:r w:rsidR="001A37B3" w:rsidRPr="008F141F">
        <w:rPr>
          <w:b/>
          <w:bCs/>
        </w:rPr>
        <w:t>, đối tượng thu</w:t>
      </w:r>
    </w:p>
    <w:p w:rsidR="00EB6EA8" w:rsidRPr="00277AB2" w:rsidRDefault="00EB6EA8" w:rsidP="0099215E">
      <w:pPr>
        <w:spacing w:beforeLines="60" w:before="144" w:afterLines="60" w:after="144"/>
        <w:ind w:firstLine="720"/>
        <w:jc w:val="both"/>
        <w:rPr>
          <w:iCs/>
          <w:shd w:val="clear" w:color="auto" w:fill="FFFFFF"/>
        </w:rPr>
      </w:pPr>
      <w:r w:rsidRPr="00277AB2">
        <w:rPr>
          <w:bCs/>
          <w:i/>
        </w:rPr>
        <w:t xml:space="preserve">- Về mức thu: </w:t>
      </w:r>
      <w:r w:rsidR="00EA0F31" w:rsidRPr="00277AB2">
        <w:rPr>
          <w:bCs/>
        </w:rPr>
        <w:t xml:space="preserve">Kế thừa </w:t>
      </w:r>
      <w:r w:rsidR="008F1B02" w:rsidRPr="00277AB2">
        <w:rPr>
          <w:bCs/>
        </w:rPr>
        <w:t>mức thu</w:t>
      </w:r>
      <w:r w:rsidR="008F1B02" w:rsidRPr="00277AB2">
        <w:rPr>
          <w:bCs/>
          <w:i/>
        </w:rPr>
        <w:t xml:space="preserve"> </w:t>
      </w:r>
      <w:r w:rsidR="00E61863" w:rsidRPr="00277AB2">
        <w:rPr>
          <w:bCs/>
        </w:rPr>
        <w:t>theo quy định tại</w:t>
      </w:r>
      <w:r w:rsidR="00E61863" w:rsidRPr="00277AB2">
        <w:rPr>
          <w:bCs/>
          <w:i/>
        </w:rPr>
        <w:t xml:space="preserve"> </w:t>
      </w:r>
      <w:r w:rsidR="009406E8" w:rsidRPr="00277AB2">
        <w:rPr>
          <w:bCs/>
        </w:rPr>
        <w:t>Nghị quyết số 05</w:t>
      </w:r>
      <w:r w:rsidR="009406E8" w:rsidRPr="00277AB2">
        <w:rPr>
          <w:iCs/>
          <w:shd w:val="clear" w:color="auto" w:fill="FFFFFF"/>
        </w:rPr>
        <w:t>/2021/NQ-HĐND</w:t>
      </w:r>
      <w:r w:rsidR="00EA0F31" w:rsidRPr="00277AB2">
        <w:rPr>
          <w:iCs/>
          <w:shd w:val="clear" w:color="auto" w:fill="FFFFFF"/>
        </w:rPr>
        <w:t>, có điều chỉnh một số nội dung :</w:t>
      </w:r>
    </w:p>
    <w:p w:rsidR="00A40B03" w:rsidRPr="001502A7" w:rsidRDefault="00EA0F31" w:rsidP="0099215E">
      <w:pPr>
        <w:spacing w:beforeLines="60" w:before="144" w:afterLines="60" w:after="144"/>
        <w:ind w:firstLine="720"/>
        <w:jc w:val="both"/>
        <w:rPr>
          <w:iCs/>
          <w:color w:val="FF0000"/>
          <w:shd w:val="clear" w:color="auto" w:fill="FFFFFF"/>
        </w:rPr>
      </w:pPr>
      <w:r w:rsidRPr="001502A7">
        <w:rPr>
          <w:iCs/>
          <w:color w:val="FF0000"/>
          <w:shd w:val="clear" w:color="auto" w:fill="FFFFFF"/>
        </w:rPr>
        <w:t>+</w:t>
      </w:r>
      <w:r w:rsidR="00E52C08" w:rsidRPr="001502A7">
        <w:rPr>
          <w:iCs/>
          <w:color w:val="FF0000"/>
          <w:shd w:val="clear" w:color="auto" w:fill="FFFFFF"/>
        </w:rPr>
        <w:t xml:space="preserve"> </w:t>
      </w:r>
      <w:r w:rsidR="00A40B03" w:rsidRPr="001502A7">
        <w:rPr>
          <w:iCs/>
          <w:color w:val="FF0000"/>
          <w:shd w:val="clear" w:color="auto" w:fill="FFFFFF"/>
        </w:rPr>
        <w:t>Biểu thu không phân biệt chủng loại hàng hóa, thu theo tải trọng phương tiện (theo thiết kế của phương tiện).</w:t>
      </w:r>
    </w:p>
    <w:p w:rsidR="00F16CAB" w:rsidRPr="00010255" w:rsidRDefault="00F16CAB" w:rsidP="00F16CAB">
      <w:pPr>
        <w:spacing w:beforeLines="60" w:before="144" w:afterLines="60" w:after="144"/>
        <w:ind w:firstLine="720"/>
        <w:jc w:val="both"/>
        <w:rPr>
          <w:iCs/>
          <w:color w:val="FF0000"/>
          <w:shd w:val="clear" w:color="auto" w:fill="FFFFFF"/>
        </w:rPr>
      </w:pPr>
      <w:bookmarkStart w:id="0" w:name="_GoBack"/>
      <w:r w:rsidRPr="00010255">
        <w:rPr>
          <w:iCs/>
          <w:color w:val="FF0000"/>
          <w:shd w:val="clear" w:color="auto" w:fill="FFFFFF"/>
        </w:rPr>
        <w:t>+ Phương tiện vận tải chở hàng hóa xuất khẩu, nhập khẩu (</w:t>
      </w:r>
      <w:r w:rsidRPr="00010255">
        <w:rPr>
          <w:i/>
          <w:iCs/>
          <w:color w:val="FF0000"/>
          <w:shd w:val="clear" w:color="auto" w:fill="FFFFFF"/>
        </w:rPr>
        <w:t>các loại phương tiện xe tải có chở hàng hóa</w:t>
      </w:r>
      <w:r w:rsidRPr="00010255">
        <w:rPr>
          <w:iCs/>
          <w:color w:val="FF0000"/>
          <w:shd w:val="clear" w:color="auto" w:fill="FFFFFF"/>
        </w:rPr>
        <w:t>); Phương tiện vận tải chở hàng hóa, quá cảnh</w:t>
      </w:r>
      <w:r w:rsidR="00A27168">
        <w:rPr>
          <w:iCs/>
          <w:color w:val="FF0000"/>
          <w:shd w:val="clear" w:color="auto" w:fill="FFFFFF"/>
        </w:rPr>
        <w:t>, chuyển khẩu</w:t>
      </w:r>
      <w:r w:rsidRPr="00010255">
        <w:rPr>
          <w:iCs/>
          <w:color w:val="FF0000"/>
          <w:shd w:val="clear" w:color="auto" w:fill="FFFFFF"/>
        </w:rPr>
        <w:t xml:space="preserve"> (đi qua lãnh thổ Việt Nam để xuất khẩu, nhập khẩu qua nước khác (quá cảnh, tạm nhập tái xuất, chuyển khẩu, ...) do cơ quan Hải Quan ban hành (</w:t>
      </w:r>
      <w:r w:rsidRPr="00010255">
        <w:rPr>
          <w:i/>
          <w:iCs/>
          <w:color w:val="FF0000"/>
          <w:shd w:val="clear" w:color="auto" w:fill="FFFFFF"/>
        </w:rPr>
        <w:t xml:space="preserve">trừ các </w:t>
      </w:r>
      <w:r w:rsidR="008B5C00" w:rsidRPr="00010255">
        <w:rPr>
          <w:i/>
          <w:iCs/>
          <w:color w:val="FF0000"/>
          <w:shd w:val="clear" w:color="auto" w:fill="FFFFFF"/>
        </w:rPr>
        <w:t>p</w:t>
      </w:r>
      <w:r w:rsidRPr="00010255">
        <w:rPr>
          <w:i/>
          <w:iCs/>
          <w:color w:val="FF0000"/>
          <w:shd w:val="clear" w:color="auto" w:fill="FFFFFF"/>
        </w:rPr>
        <w:t>hương tiện vận tải chở hàng hóa xuất khẩu, nhập khẩu</w:t>
      </w:r>
      <w:r w:rsidRPr="00010255">
        <w:rPr>
          <w:iCs/>
          <w:color w:val="FF0000"/>
          <w:shd w:val="clear" w:color="auto" w:fill="FFFFFF"/>
        </w:rPr>
        <w:t>); Xe Khách (</w:t>
      </w:r>
      <w:r w:rsidRPr="00010255">
        <w:rPr>
          <w:i/>
          <w:iCs/>
          <w:color w:val="FF0000"/>
          <w:shd w:val="clear" w:color="auto" w:fill="FFFFFF"/>
        </w:rPr>
        <w:t>Bao gồm xe khách có chở khách, xe khách không chở khách nhưng có chở hàng hóa</w:t>
      </w:r>
      <w:r w:rsidRPr="00010255">
        <w:rPr>
          <w:iCs/>
          <w:color w:val="FF0000"/>
          <w:shd w:val="clear" w:color="auto" w:fill="FFFFFF"/>
        </w:rPr>
        <w:t>)</w:t>
      </w:r>
      <w:r w:rsidR="008C1038" w:rsidRPr="00010255">
        <w:rPr>
          <w:iCs/>
          <w:color w:val="FF0000"/>
          <w:shd w:val="clear" w:color="auto" w:fill="FFFFFF"/>
        </w:rPr>
        <w:t>.</w:t>
      </w:r>
    </w:p>
    <w:bookmarkEnd w:id="0"/>
    <w:p w:rsidR="0099215E" w:rsidRDefault="00EB6EA8" w:rsidP="0099215E">
      <w:pPr>
        <w:spacing w:beforeLines="60" w:before="144" w:afterLines="60" w:after="144"/>
        <w:ind w:firstLine="720"/>
        <w:jc w:val="both"/>
        <w:rPr>
          <w:iCs/>
          <w:shd w:val="clear" w:color="auto" w:fill="FFFFFF"/>
        </w:rPr>
      </w:pPr>
      <w:r w:rsidRPr="008F141F">
        <w:rPr>
          <w:i/>
          <w:iCs/>
          <w:shd w:val="clear" w:color="auto" w:fill="FFFFFF"/>
        </w:rPr>
        <w:t xml:space="preserve">- Đối </w:t>
      </w:r>
      <w:r w:rsidR="001A37B3" w:rsidRPr="008F141F">
        <w:rPr>
          <w:i/>
          <w:iCs/>
          <w:shd w:val="clear" w:color="auto" w:fill="FFFFFF"/>
        </w:rPr>
        <w:t>tượng thu</w:t>
      </w:r>
      <w:r w:rsidR="0099215E" w:rsidRPr="008F141F">
        <w:rPr>
          <w:i/>
          <w:iCs/>
          <w:shd w:val="clear" w:color="auto" w:fill="FFFFFF"/>
        </w:rPr>
        <w:t>:</w:t>
      </w:r>
      <w:r w:rsidR="0099215E" w:rsidRPr="008F141F">
        <w:rPr>
          <w:iCs/>
          <w:shd w:val="clear" w:color="auto" w:fill="FFFFFF"/>
        </w:rPr>
        <w:t xml:space="preserve"> </w:t>
      </w:r>
      <w:r w:rsidR="008F1B02" w:rsidRPr="008F141F">
        <w:rPr>
          <w:iCs/>
          <w:shd w:val="clear" w:color="auto" w:fill="FFFFFF"/>
        </w:rPr>
        <w:t xml:space="preserve">ngoài các đối tượng thu </w:t>
      </w:r>
      <w:r w:rsidR="00E61863" w:rsidRPr="008F141F">
        <w:rPr>
          <w:bCs/>
        </w:rPr>
        <w:t>kế thừa theo quy định tại</w:t>
      </w:r>
      <w:r w:rsidR="00E61863" w:rsidRPr="008F141F">
        <w:rPr>
          <w:bCs/>
          <w:i/>
        </w:rPr>
        <w:t xml:space="preserve"> </w:t>
      </w:r>
      <w:r w:rsidR="008F1B02" w:rsidRPr="008F141F">
        <w:rPr>
          <w:bCs/>
        </w:rPr>
        <w:t>Nghị quyết số 05</w:t>
      </w:r>
      <w:r w:rsidR="008F1B02" w:rsidRPr="008F141F">
        <w:rPr>
          <w:iCs/>
          <w:shd w:val="clear" w:color="auto" w:fill="FFFFFF"/>
        </w:rPr>
        <w:t>/2021/NQ-HĐND,</w:t>
      </w:r>
      <w:r w:rsidR="00E61863" w:rsidRPr="008F141F">
        <w:rPr>
          <w:iCs/>
          <w:shd w:val="clear" w:color="auto" w:fill="FFFFFF"/>
        </w:rPr>
        <w:t xml:space="preserve"> dự thảo</w:t>
      </w:r>
      <w:r w:rsidR="008F1B02" w:rsidRPr="008F141F">
        <w:rPr>
          <w:iCs/>
          <w:shd w:val="clear" w:color="auto" w:fill="FFFFFF"/>
        </w:rPr>
        <w:t xml:space="preserve"> Nghị quyết </w:t>
      </w:r>
      <w:r w:rsidRPr="008F141F">
        <w:rPr>
          <w:iCs/>
          <w:shd w:val="clear" w:color="auto" w:fill="FFFFFF"/>
        </w:rPr>
        <w:t xml:space="preserve">bổ sung đối tượng thu gồm: </w:t>
      </w:r>
      <w:r w:rsidR="008F1B02" w:rsidRPr="008F141F">
        <w:t>xe chở hàng bằng container 40fit trở lên; xe chở hàng bằng 02 container 20fit</w:t>
      </w:r>
      <w:r w:rsidR="0099215E" w:rsidRPr="008F141F">
        <w:rPr>
          <w:bCs/>
        </w:rPr>
        <w:t>.</w:t>
      </w:r>
      <w:r w:rsidR="0099215E" w:rsidRPr="008F141F">
        <w:rPr>
          <w:iCs/>
          <w:shd w:val="clear" w:color="auto" w:fill="FFFFFF"/>
        </w:rPr>
        <w:t xml:space="preserve"> Cụ thể:</w:t>
      </w:r>
    </w:p>
    <w:p w:rsidR="00A109F1" w:rsidRPr="008F141F" w:rsidRDefault="00A109F1" w:rsidP="0099215E">
      <w:pPr>
        <w:spacing w:beforeLines="60" w:before="144" w:afterLines="60" w:after="144"/>
        <w:ind w:firstLine="720"/>
        <w:jc w:val="both"/>
        <w:rPr>
          <w:iCs/>
          <w:shd w:val="clear" w:color="auto" w:fill="FFFFFF"/>
        </w:rPr>
      </w:pPr>
    </w:p>
    <w:tbl>
      <w:tblPr>
        <w:tblW w:w="9439" w:type="dxa"/>
        <w:tblInd w:w="25" w:type="dxa"/>
        <w:tblLook w:val="04A0" w:firstRow="1" w:lastRow="0" w:firstColumn="1" w:lastColumn="0" w:noHBand="0" w:noVBand="1"/>
      </w:tblPr>
      <w:tblGrid>
        <w:gridCol w:w="868"/>
        <w:gridCol w:w="3893"/>
        <w:gridCol w:w="1890"/>
        <w:gridCol w:w="2788"/>
      </w:tblGrid>
      <w:tr w:rsidR="006E62A2" w:rsidRPr="008F141F" w:rsidTr="00C23D8C">
        <w:trPr>
          <w:trHeight w:val="20"/>
        </w:trPr>
        <w:tc>
          <w:tcPr>
            <w:tcW w:w="868" w:type="dxa"/>
            <w:tcBorders>
              <w:top w:val="nil"/>
              <w:left w:val="nil"/>
              <w:bottom w:val="nil"/>
              <w:right w:val="nil"/>
            </w:tcBorders>
            <w:shd w:val="clear" w:color="auto" w:fill="auto"/>
            <w:noWrap/>
            <w:vAlign w:val="center"/>
            <w:hideMark/>
          </w:tcPr>
          <w:p w:rsidR="006E62A2" w:rsidRPr="008F141F" w:rsidRDefault="006E62A2" w:rsidP="004B0CB5">
            <w:pPr>
              <w:spacing w:beforeLines="60" w:before="144" w:afterLines="60" w:after="144"/>
              <w:jc w:val="both"/>
            </w:pPr>
          </w:p>
        </w:tc>
        <w:tc>
          <w:tcPr>
            <w:tcW w:w="3893" w:type="dxa"/>
            <w:tcBorders>
              <w:top w:val="nil"/>
              <w:left w:val="nil"/>
              <w:bottom w:val="nil"/>
              <w:right w:val="nil"/>
            </w:tcBorders>
            <w:shd w:val="clear" w:color="auto" w:fill="auto"/>
            <w:noWrap/>
            <w:vAlign w:val="center"/>
            <w:hideMark/>
          </w:tcPr>
          <w:p w:rsidR="006E62A2" w:rsidRPr="008F141F" w:rsidRDefault="006E62A2" w:rsidP="004B0CB5">
            <w:pPr>
              <w:spacing w:beforeLines="60" w:before="144" w:afterLines="60" w:after="144"/>
              <w:jc w:val="both"/>
            </w:pPr>
          </w:p>
        </w:tc>
        <w:tc>
          <w:tcPr>
            <w:tcW w:w="4678" w:type="dxa"/>
            <w:gridSpan w:val="2"/>
            <w:tcBorders>
              <w:top w:val="nil"/>
              <w:left w:val="nil"/>
              <w:bottom w:val="nil"/>
              <w:right w:val="nil"/>
            </w:tcBorders>
            <w:vAlign w:val="center"/>
          </w:tcPr>
          <w:p w:rsidR="006E62A2" w:rsidRPr="008F141F" w:rsidRDefault="006E62A2" w:rsidP="004B0CB5">
            <w:pPr>
              <w:spacing w:beforeLines="60" w:before="144" w:afterLines="60" w:after="144"/>
              <w:jc w:val="right"/>
              <w:rPr>
                <w:i/>
              </w:rPr>
            </w:pPr>
            <w:r w:rsidRPr="008F141F">
              <w:rPr>
                <w:i/>
              </w:rPr>
              <w:t>ĐVT: đồng/xe/lần ra, vào</w:t>
            </w:r>
          </w:p>
        </w:tc>
      </w:tr>
      <w:tr w:rsidR="006E62A2" w:rsidRPr="008F141F" w:rsidTr="00C23D8C">
        <w:trPr>
          <w:trHeight w:val="466"/>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62A2" w:rsidRPr="008F141F" w:rsidRDefault="006E62A2" w:rsidP="004B0CB5">
            <w:pPr>
              <w:spacing w:beforeLines="60" w:before="144" w:afterLines="60" w:after="144"/>
              <w:jc w:val="center"/>
              <w:rPr>
                <w:b/>
                <w:bCs/>
              </w:rPr>
            </w:pPr>
            <w:r w:rsidRPr="008F141F">
              <w:rPr>
                <w:b/>
                <w:bCs/>
              </w:rPr>
              <w:t>STT</w:t>
            </w:r>
          </w:p>
        </w:tc>
        <w:tc>
          <w:tcPr>
            <w:tcW w:w="3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62A2" w:rsidRPr="008F141F" w:rsidRDefault="006E62A2" w:rsidP="004B0CB5">
            <w:pPr>
              <w:spacing w:beforeLines="60" w:before="144" w:afterLines="60" w:after="144"/>
              <w:jc w:val="center"/>
              <w:rPr>
                <w:b/>
                <w:bCs/>
              </w:rPr>
            </w:pPr>
            <w:r w:rsidRPr="008F141F">
              <w:rPr>
                <w:b/>
                <w:bCs/>
              </w:rPr>
              <w:t>PHƯƠNG TIỆN CHỊU PHÍ</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62A2" w:rsidRPr="008F141F" w:rsidRDefault="006E62A2" w:rsidP="004B0CB5">
            <w:pPr>
              <w:spacing w:beforeLines="60" w:before="144" w:afterLines="60" w:after="144"/>
              <w:jc w:val="center"/>
              <w:rPr>
                <w:b/>
                <w:bCs/>
              </w:rPr>
            </w:pPr>
          </w:p>
          <w:p w:rsidR="006E62A2" w:rsidRPr="008F141F" w:rsidRDefault="006E62A2" w:rsidP="004B0CB5">
            <w:pPr>
              <w:spacing w:beforeLines="60" w:before="144" w:afterLines="60" w:after="144"/>
              <w:jc w:val="center"/>
              <w:rPr>
                <w:b/>
                <w:bCs/>
              </w:rPr>
            </w:pPr>
            <w:r w:rsidRPr="008F141F">
              <w:rPr>
                <w:b/>
                <w:bCs/>
              </w:rPr>
              <w:t xml:space="preserve">MỨC THU </w:t>
            </w:r>
            <w:r w:rsidRPr="008F141F">
              <w:rPr>
                <w:b/>
                <w:bCs/>
              </w:rPr>
              <w:br/>
            </w:r>
          </w:p>
        </w:tc>
        <w:tc>
          <w:tcPr>
            <w:tcW w:w="2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62A2" w:rsidRPr="008F141F" w:rsidRDefault="006E62A2" w:rsidP="004B0CB5">
            <w:pPr>
              <w:spacing w:beforeLines="60" w:before="144" w:afterLines="60" w:after="144"/>
              <w:jc w:val="center"/>
              <w:rPr>
                <w:b/>
                <w:bCs/>
              </w:rPr>
            </w:pPr>
            <w:r w:rsidRPr="008F141F">
              <w:rPr>
                <w:b/>
                <w:bCs/>
              </w:rPr>
              <w:t>GHI CHÚ</w:t>
            </w:r>
          </w:p>
        </w:tc>
      </w:tr>
      <w:tr w:rsidR="006E62A2" w:rsidRPr="008F141F" w:rsidTr="00C23D8C">
        <w:trPr>
          <w:trHeight w:val="61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6E62A2" w:rsidRPr="008F141F" w:rsidRDefault="006E62A2" w:rsidP="004B0CB5">
            <w:pPr>
              <w:spacing w:beforeLines="60" w:before="144" w:afterLines="60" w:after="144"/>
              <w:jc w:val="both"/>
              <w:rPr>
                <w:b/>
                <w:bCs/>
              </w:rPr>
            </w:pPr>
          </w:p>
        </w:tc>
        <w:tc>
          <w:tcPr>
            <w:tcW w:w="3893" w:type="dxa"/>
            <w:vMerge/>
            <w:tcBorders>
              <w:top w:val="single" w:sz="4" w:space="0" w:color="auto"/>
              <w:left w:val="single" w:sz="4" w:space="0" w:color="auto"/>
              <w:bottom w:val="single" w:sz="4" w:space="0" w:color="000000"/>
              <w:right w:val="single" w:sz="4" w:space="0" w:color="auto"/>
            </w:tcBorders>
            <w:vAlign w:val="center"/>
            <w:hideMark/>
          </w:tcPr>
          <w:p w:rsidR="006E62A2" w:rsidRPr="008F141F" w:rsidRDefault="006E62A2" w:rsidP="004B0CB5">
            <w:pPr>
              <w:spacing w:beforeLines="60" w:before="144" w:afterLines="60" w:after="144"/>
              <w:jc w:val="both"/>
              <w:rPr>
                <w:b/>
                <w:bCs/>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6E62A2" w:rsidRPr="008F141F" w:rsidRDefault="006E62A2" w:rsidP="004B0CB5">
            <w:pPr>
              <w:spacing w:beforeLines="60" w:before="144" w:afterLines="60" w:after="144"/>
              <w:jc w:val="both"/>
              <w:rPr>
                <w:b/>
                <w:bCs/>
              </w:rPr>
            </w:pPr>
          </w:p>
        </w:tc>
        <w:tc>
          <w:tcPr>
            <w:tcW w:w="2788" w:type="dxa"/>
            <w:vMerge/>
            <w:tcBorders>
              <w:top w:val="single" w:sz="4" w:space="0" w:color="auto"/>
              <w:left w:val="single" w:sz="4" w:space="0" w:color="auto"/>
              <w:bottom w:val="single" w:sz="4" w:space="0" w:color="000000"/>
              <w:right w:val="single" w:sz="4" w:space="0" w:color="auto"/>
            </w:tcBorders>
            <w:vAlign w:val="center"/>
            <w:hideMark/>
          </w:tcPr>
          <w:p w:rsidR="006E62A2" w:rsidRPr="008F141F" w:rsidRDefault="006E62A2" w:rsidP="004B0CB5">
            <w:pPr>
              <w:spacing w:beforeLines="60" w:before="144" w:afterLines="60" w:after="144"/>
              <w:jc w:val="both"/>
              <w:rPr>
                <w:b/>
                <w:bCs/>
              </w:rPr>
            </w:pP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rPr>
                <w:b/>
                <w:bCs/>
              </w:rPr>
            </w:pPr>
            <w:r w:rsidRPr="00064C8C">
              <w:rPr>
                <w:b/>
                <w:bCs/>
              </w:rPr>
              <w:lastRenderedPageBreak/>
              <w:t>A</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4B0CB5">
            <w:pPr>
              <w:spacing w:beforeLines="60" w:before="144" w:afterLines="60" w:after="144"/>
              <w:jc w:val="both"/>
              <w:rPr>
                <w:b/>
                <w:bCs/>
              </w:rPr>
            </w:pPr>
            <w:r w:rsidRPr="00064C8C">
              <w:rPr>
                <w:b/>
                <w:bCs/>
              </w:rPr>
              <w:t xml:space="preserve">Phương tiện vận tải chở hàng hóa xuất khẩu, nhập khẩu </w:t>
            </w:r>
            <w:r w:rsidRPr="00064C8C">
              <w:rPr>
                <w:bCs/>
              </w:rPr>
              <w:t>(các loại</w:t>
            </w:r>
            <w:r w:rsidR="00A40B03" w:rsidRPr="00064C8C">
              <w:rPr>
                <w:bCs/>
              </w:rPr>
              <w:t xml:space="preserve"> phương tiện</w:t>
            </w:r>
            <w:r w:rsidRPr="00064C8C">
              <w:rPr>
                <w:bCs/>
              </w:rPr>
              <w:t xml:space="preserve"> xe tải có chở hàng hóa)</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rPr>
                <w:b/>
                <w:bCs/>
              </w:rPr>
            </w:pPr>
            <w:r w:rsidRPr="00064C8C">
              <w:rPr>
                <w:b/>
                <w:bCs/>
              </w:rPr>
              <w:t> </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A7477C" w:rsidP="00E4776D">
            <w:pPr>
              <w:spacing w:beforeLines="60" w:before="144" w:afterLines="60" w:after="144"/>
              <w:jc w:val="both"/>
              <w:rPr>
                <w:bCs/>
                <w:sz w:val="24"/>
                <w:szCs w:val="24"/>
              </w:rPr>
            </w:pPr>
            <w:r w:rsidRPr="00E4776D">
              <w:rPr>
                <w:bCs/>
                <w:color w:val="FF0000"/>
                <w:sz w:val="24"/>
                <w:szCs w:val="24"/>
              </w:rPr>
              <w:t>Không phân biệt chủng loại hàng hóa</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pPr>
            <w:r w:rsidRPr="00064C8C">
              <w:t>1</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4B0CB5">
            <w:pPr>
              <w:spacing w:beforeLines="60" w:before="144" w:afterLines="60" w:after="144"/>
              <w:jc w:val="both"/>
            </w:pPr>
            <w:r w:rsidRPr="00064C8C">
              <w:t xml:space="preserve">Xe ô tô có tải trọng dưới 02 tấn, xe 03 bánh và các loại xe tương tự </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80.000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A109F1" w:rsidP="00E4776D">
            <w:pPr>
              <w:spacing w:beforeLines="60" w:before="144" w:afterLines="60" w:after="144"/>
              <w:jc w:val="both"/>
              <w:rPr>
                <w:sz w:val="24"/>
                <w:szCs w:val="24"/>
              </w:rPr>
            </w:pPr>
            <w:r w:rsidRPr="00E4776D">
              <w:rPr>
                <w:b/>
                <w:sz w:val="24"/>
                <w:szCs w:val="24"/>
              </w:rPr>
              <w:t>Giảm 20.000</w:t>
            </w:r>
            <w:r w:rsidRPr="00E4776D">
              <w:rPr>
                <w:sz w:val="24"/>
                <w:szCs w:val="24"/>
              </w:rPr>
              <w:t xml:space="preserve"> so với Nghị quyết số 05/2021/NQ-HĐND</w:t>
            </w:r>
            <w:r w:rsidR="00C23D8C">
              <w:rPr>
                <w:sz w:val="24"/>
                <w:szCs w:val="24"/>
              </w:rPr>
              <w:t xml:space="preserve">: </w:t>
            </w:r>
            <w:r w:rsidRPr="00E4776D">
              <w:rPr>
                <w:sz w:val="24"/>
                <w:szCs w:val="24"/>
              </w:rPr>
              <w:t>mức thu theo loại hàng hóa (hoa quả, nông sản: 80.000; hàng hóa khác: 100.000)</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pPr>
            <w:r w:rsidRPr="00064C8C">
              <w:t>2</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4B0CB5">
            <w:pPr>
              <w:spacing w:beforeLines="60" w:before="144" w:afterLines="60" w:after="144"/>
              <w:jc w:val="both"/>
            </w:pPr>
            <w:r w:rsidRPr="00064C8C">
              <w:t>Xe ô tô có tải trọng từ 02 đến dưới 04 tấn</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160.000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E4776D" w:rsidP="00E4776D">
            <w:pPr>
              <w:spacing w:beforeLines="60" w:before="144" w:afterLines="60" w:after="144"/>
              <w:jc w:val="both"/>
              <w:rPr>
                <w:sz w:val="24"/>
                <w:szCs w:val="24"/>
              </w:rPr>
            </w:pPr>
            <w:r w:rsidRPr="00E4776D">
              <w:rPr>
                <w:b/>
                <w:sz w:val="24"/>
                <w:szCs w:val="24"/>
              </w:rPr>
              <w:t>Giảm 40.000</w:t>
            </w:r>
            <w:r w:rsidRPr="00E4776D">
              <w:rPr>
                <w:sz w:val="24"/>
                <w:szCs w:val="24"/>
              </w:rPr>
              <w:t xml:space="preserve"> so với Nghị quyết số 05/2021/NQ-HĐND</w:t>
            </w:r>
            <w:r w:rsidR="00C23D8C">
              <w:rPr>
                <w:sz w:val="24"/>
                <w:szCs w:val="24"/>
              </w:rPr>
              <w:t>:</w:t>
            </w:r>
            <w:r w:rsidRPr="00E4776D">
              <w:rPr>
                <w:sz w:val="24"/>
                <w:szCs w:val="24"/>
              </w:rPr>
              <w:t xml:space="preserve"> mức thu theo loại hàng hóa (hoa quả, nông sản: 160.000; hàng hóa khác: 200.000)</w:t>
            </w:r>
            <w:r w:rsidR="006E62A2" w:rsidRPr="00E4776D">
              <w:rPr>
                <w:sz w:val="24"/>
                <w:szCs w:val="24"/>
              </w:rPr>
              <w:t> </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pPr>
            <w:r w:rsidRPr="00064C8C">
              <w:t>3</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4B0CB5">
            <w:pPr>
              <w:spacing w:beforeLines="60" w:before="144" w:afterLines="60" w:after="144"/>
              <w:jc w:val="both"/>
            </w:pPr>
            <w:r w:rsidRPr="00064C8C">
              <w:t>Xe ô tô có tải trọng từ 04 đến dưới 10 tấn</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240.000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E4776D" w:rsidP="00E4776D">
            <w:pPr>
              <w:spacing w:beforeLines="60" w:before="144" w:afterLines="60" w:after="144"/>
              <w:jc w:val="both"/>
              <w:rPr>
                <w:sz w:val="24"/>
                <w:szCs w:val="24"/>
              </w:rPr>
            </w:pPr>
            <w:r w:rsidRPr="00E4776D">
              <w:rPr>
                <w:b/>
                <w:sz w:val="24"/>
                <w:szCs w:val="24"/>
              </w:rPr>
              <w:t>Giảm 60.000</w:t>
            </w:r>
            <w:r w:rsidRPr="00E4776D">
              <w:rPr>
                <w:sz w:val="24"/>
                <w:szCs w:val="24"/>
              </w:rPr>
              <w:t xml:space="preserve"> so với Nghị quyết số 05/2021/NQ-HĐND mức thu theo loại hàng hóa (hoa quả, nông sản: 240.000; hàng hóa khác: 300.000)</w:t>
            </w:r>
            <w:r w:rsidR="006E62A2" w:rsidRPr="00E4776D">
              <w:rPr>
                <w:sz w:val="24"/>
                <w:szCs w:val="24"/>
              </w:rPr>
              <w:t> </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pPr>
            <w:r w:rsidRPr="00064C8C">
              <w:t>4</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4B0CB5">
            <w:pPr>
              <w:spacing w:beforeLines="60" w:before="144" w:afterLines="60" w:after="144"/>
              <w:jc w:val="both"/>
            </w:pPr>
            <w:r w:rsidRPr="00064C8C">
              <w:t>Xe ô tô có tải trọng từ 10 đến dưới 18 tấn; Xe chở hàng bằng container 20fit</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320.000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E4776D" w:rsidP="00C23D8C">
            <w:pPr>
              <w:pStyle w:val="NormalWeb"/>
              <w:jc w:val="both"/>
            </w:pPr>
            <w:r w:rsidRPr="00E4776D">
              <w:t xml:space="preserve">Giảm </w:t>
            </w:r>
            <w:r w:rsidRPr="00E4776D">
              <w:rPr>
                <w:b/>
                <w:lang w:val="en-GB"/>
              </w:rPr>
              <w:t>8</w:t>
            </w:r>
            <w:r w:rsidRPr="00E4776D">
              <w:rPr>
                <w:b/>
              </w:rPr>
              <w:t>0.000</w:t>
            </w:r>
            <w:r w:rsidRPr="00E4776D">
              <w:t xml:space="preserve"> so với Nghị quyết số 05/2021/NQ-HĐND mức thu theo loại hàng hóa (hoa quả, nông sản: 320.000; hàng hóa khác: 400.000)</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center"/>
            </w:pPr>
            <w:r w:rsidRPr="00064C8C">
              <w:t>5</w:t>
            </w:r>
          </w:p>
        </w:tc>
        <w:tc>
          <w:tcPr>
            <w:tcW w:w="3893" w:type="dxa"/>
            <w:tcBorders>
              <w:top w:val="nil"/>
              <w:left w:val="nil"/>
              <w:bottom w:val="single" w:sz="4" w:space="0" w:color="auto"/>
              <w:right w:val="single" w:sz="4" w:space="0" w:color="auto"/>
            </w:tcBorders>
            <w:shd w:val="clear" w:color="auto" w:fill="auto"/>
            <w:vAlign w:val="center"/>
            <w:hideMark/>
          </w:tcPr>
          <w:p w:rsidR="006E62A2" w:rsidRPr="00064C8C" w:rsidRDefault="006E62A2" w:rsidP="0099215E">
            <w:pPr>
              <w:spacing w:beforeLines="60" w:before="144" w:afterLines="60" w:after="144"/>
              <w:jc w:val="both"/>
            </w:pPr>
            <w:r w:rsidRPr="00064C8C">
              <w:t xml:space="preserve">Xe ô tô có tải trọng từ 18 tấn trở lên; </w:t>
            </w:r>
            <w:r w:rsidR="00C231A8" w:rsidRPr="00064C8C">
              <w:t>xe chở hàng bằng container từ 40fit trở lên; xe chở hàng bằng 02 container 20fit</w:t>
            </w:r>
            <w:r w:rsidR="00C231A8" w:rsidRPr="00064C8C">
              <w:rPr>
                <w:color w:val="FF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C231A8">
            <w:pPr>
              <w:spacing w:beforeLines="60" w:before="144" w:afterLines="60" w:after="144"/>
              <w:jc w:val="right"/>
            </w:pPr>
            <w:r w:rsidRPr="00064C8C">
              <w:t>400.000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C23D8C" w:rsidP="00E4776D">
            <w:pPr>
              <w:spacing w:beforeLines="60" w:before="144" w:afterLines="60" w:after="144"/>
              <w:jc w:val="both"/>
              <w:rPr>
                <w:sz w:val="24"/>
                <w:szCs w:val="24"/>
              </w:rPr>
            </w:pPr>
            <w:r w:rsidRPr="00C23D8C">
              <w:rPr>
                <w:sz w:val="24"/>
                <w:szCs w:val="24"/>
              </w:rPr>
              <w:t xml:space="preserve">Giảm </w:t>
            </w:r>
            <w:r w:rsidRPr="00C23D8C">
              <w:rPr>
                <w:b/>
                <w:sz w:val="24"/>
                <w:szCs w:val="24"/>
              </w:rPr>
              <w:t>100.000</w:t>
            </w:r>
            <w:r w:rsidRPr="00C23D8C">
              <w:rPr>
                <w:sz w:val="24"/>
                <w:szCs w:val="24"/>
              </w:rPr>
              <w:t xml:space="preserve"> so với Nghị quyết số 05/2021/NQ-HĐND: mức thu theo loại hàng hóa (hoa quả, nông sản: 400.000; hàng hóa khác: 500.000); Bổ sung đối tượng xe chở hàng bằng 02 container 20fit; xe chở hàng bằng container 40fit trở lên</w:t>
            </w:r>
          </w:p>
        </w:tc>
      </w:tr>
      <w:tr w:rsidR="006E62A2" w:rsidRPr="008F141F"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8F141F" w:rsidRDefault="006E62A2" w:rsidP="004B0CB5">
            <w:pPr>
              <w:spacing w:beforeLines="60" w:before="144" w:afterLines="60" w:after="144"/>
              <w:jc w:val="center"/>
              <w:rPr>
                <w:b/>
                <w:bCs/>
              </w:rPr>
            </w:pPr>
            <w:r w:rsidRPr="008F141F">
              <w:rPr>
                <w:b/>
                <w:bCs/>
              </w:rPr>
              <w:t>B</w:t>
            </w:r>
          </w:p>
        </w:tc>
        <w:tc>
          <w:tcPr>
            <w:tcW w:w="3893" w:type="dxa"/>
            <w:tcBorders>
              <w:top w:val="nil"/>
              <w:left w:val="nil"/>
              <w:bottom w:val="single" w:sz="4" w:space="0" w:color="auto"/>
              <w:right w:val="single" w:sz="4" w:space="0" w:color="auto"/>
            </w:tcBorders>
            <w:shd w:val="clear" w:color="auto" w:fill="auto"/>
            <w:vAlign w:val="center"/>
            <w:hideMark/>
          </w:tcPr>
          <w:p w:rsidR="00605A93" w:rsidRPr="008F141F" w:rsidRDefault="00605A93" w:rsidP="008C1038">
            <w:pPr>
              <w:spacing w:beforeLines="60" w:before="144" w:afterLines="60" w:after="144"/>
              <w:jc w:val="both"/>
              <w:rPr>
                <w:b/>
                <w:bCs/>
              </w:rPr>
            </w:pPr>
            <w:r w:rsidRPr="008F141F">
              <w:rPr>
                <w:b/>
                <w:bCs/>
              </w:rPr>
              <w:t>Phương tiện vận tải chở hàng hóa</w:t>
            </w:r>
            <w:r w:rsidR="00856EAA">
              <w:rPr>
                <w:b/>
                <w:bCs/>
              </w:rPr>
              <w:t xml:space="preserve"> </w:t>
            </w:r>
            <w:r w:rsidR="00856EAA" w:rsidRPr="00856EAA">
              <w:rPr>
                <w:b/>
                <w:bCs/>
                <w:color w:val="FF0000"/>
              </w:rPr>
              <w:t>quá cảnh</w:t>
            </w:r>
            <w:r w:rsidR="00A27168">
              <w:rPr>
                <w:b/>
                <w:bCs/>
                <w:color w:val="FF0000"/>
              </w:rPr>
              <w:t>, chuyển khẩu</w:t>
            </w:r>
            <w:r w:rsidRPr="00856EAA">
              <w:rPr>
                <w:b/>
                <w:bCs/>
                <w:color w:val="FF0000"/>
              </w:rPr>
              <w:t xml:space="preserve"> </w:t>
            </w:r>
            <w:r w:rsidRPr="008F141F">
              <w:rPr>
                <w:b/>
                <w:bCs/>
              </w:rPr>
              <w:t xml:space="preserve">(đi qua lãnh thổ Việt Nam để xuất </w:t>
            </w:r>
            <w:r w:rsidRPr="008F141F">
              <w:rPr>
                <w:b/>
                <w:bCs/>
              </w:rPr>
              <w:lastRenderedPageBreak/>
              <w:t xml:space="preserve">khẩu, nhập khẩu qua nước khác (quá cảnh, tạm nhập tái xuất, chuyển khẩu, ...) </w:t>
            </w:r>
            <w:r w:rsidR="00075B78" w:rsidRPr="008F141F">
              <w:rPr>
                <w:b/>
                <w:bCs/>
              </w:rPr>
              <w:t>do cơ quan Hải Quan ban hành</w:t>
            </w:r>
            <w:r w:rsidR="008C3B0A" w:rsidRPr="008F141F">
              <w:rPr>
                <w:rStyle w:val="FootnoteReference"/>
                <w:b/>
                <w:bCs/>
              </w:rPr>
              <w:footnoteReference w:id="9"/>
            </w:r>
            <w:r w:rsidR="00075B78" w:rsidRPr="008F141F">
              <w:rPr>
                <w:b/>
                <w:bCs/>
              </w:rPr>
              <w:t xml:space="preserve"> </w:t>
            </w:r>
            <w:r w:rsidR="008C3B0A" w:rsidRPr="008F141F">
              <w:rPr>
                <w:b/>
                <w:bCs/>
              </w:rPr>
              <w:t>(</w:t>
            </w:r>
            <w:r w:rsidRPr="008F141F">
              <w:rPr>
                <w:b/>
                <w:bCs/>
                <w:i/>
              </w:rPr>
              <w:t>trừ các phương tiện vận tải chở hàng hóa tại Mục A phụ lục này</w:t>
            </w:r>
            <w:r w:rsidR="008C3B0A" w:rsidRPr="008F141F">
              <w:rPr>
                <w:b/>
                <w:bCs/>
              </w:rPr>
              <w:t>)</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rPr>
                <w:b/>
                <w:bCs/>
              </w:rPr>
            </w:pPr>
            <w:r w:rsidRPr="00064C8C">
              <w:rPr>
                <w:b/>
                <w:bCs/>
              </w:rPr>
              <w:lastRenderedPageBreak/>
              <w:t> </w:t>
            </w:r>
          </w:p>
        </w:tc>
        <w:tc>
          <w:tcPr>
            <w:tcW w:w="2788" w:type="dxa"/>
            <w:tcBorders>
              <w:top w:val="nil"/>
              <w:left w:val="nil"/>
              <w:bottom w:val="single" w:sz="4" w:space="0" w:color="auto"/>
              <w:right w:val="single" w:sz="4" w:space="0" w:color="auto"/>
            </w:tcBorders>
            <w:shd w:val="clear" w:color="auto" w:fill="auto"/>
            <w:noWrap/>
            <w:vAlign w:val="center"/>
            <w:hideMark/>
          </w:tcPr>
          <w:p w:rsidR="00E131AD" w:rsidRPr="00E4776D" w:rsidRDefault="00A7477C" w:rsidP="00E4776D">
            <w:pPr>
              <w:spacing w:before="120" w:after="120"/>
              <w:jc w:val="both"/>
              <w:rPr>
                <w:b/>
                <w:i/>
                <w:sz w:val="24"/>
                <w:szCs w:val="24"/>
              </w:rPr>
            </w:pPr>
            <w:r w:rsidRPr="00E4776D">
              <w:rPr>
                <w:bCs/>
                <w:color w:val="FF0000"/>
                <w:sz w:val="24"/>
                <w:szCs w:val="24"/>
              </w:rPr>
              <w:t>Không phân biệt chủng loại hàng hóa;</w:t>
            </w:r>
            <w:r w:rsidRPr="00E4776D">
              <w:rPr>
                <w:color w:val="FF0000"/>
                <w:sz w:val="24"/>
                <w:szCs w:val="24"/>
              </w:rPr>
              <w:t xml:space="preserve">   </w:t>
            </w:r>
            <w:r w:rsidR="00075B78" w:rsidRPr="00E4776D">
              <w:rPr>
                <w:sz w:val="24"/>
                <w:szCs w:val="24"/>
              </w:rPr>
              <w:t xml:space="preserve">Ngoài các phương tiện vận tải chở hàng hóa: tạm nhập tái </w:t>
            </w:r>
            <w:r w:rsidR="00075B78" w:rsidRPr="00E4776D">
              <w:rPr>
                <w:sz w:val="24"/>
                <w:szCs w:val="24"/>
              </w:rPr>
              <w:lastRenderedPageBreak/>
              <w:t>xuất, tạm xuất tái nhập, chuyển khẩu, hàng hóa của nước ngoài gửi kho ngoại quan, hàng quá cảnh, hàng hóa chuyển cảng, b</w:t>
            </w:r>
            <w:r w:rsidR="0004407B" w:rsidRPr="00E4776D">
              <w:rPr>
                <w:sz w:val="24"/>
                <w:szCs w:val="24"/>
              </w:rPr>
              <w:t>ổ sung</w:t>
            </w:r>
            <w:r w:rsidR="006E62A2" w:rsidRPr="00E4776D">
              <w:rPr>
                <w:sz w:val="24"/>
                <w:szCs w:val="24"/>
              </w:rPr>
              <w:t> </w:t>
            </w:r>
            <w:r w:rsidR="00534113" w:rsidRPr="00E4776D">
              <w:rPr>
                <w:sz w:val="24"/>
                <w:szCs w:val="24"/>
              </w:rPr>
              <w:t xml:space="preserve"> </w:t>
            </w:r>
            <w:r w:rsidR="002C367D" w:rsidRPr="00E4776D">
              <w:rPr>
                <w:sz w:val="24"/>
                <w:szCs w:val="24"/>
              </w:rPr>
              <w:t xml:space="preserve">đối tượng </w:t>
            </w:r>
            <w:r w:rsidR="00075B78" w:rsidRPr="00E4776D">
              <w:rPr>
                <w:sz w:val="24"/>
                <w:szCs w:val="24"/>
              </w:rPr>
              <w:t>là các p</w:t>
            </w:r>
            <w:r w:rsidR="00605A93" w:rsidRPr="00E4776D">
              <w:rPr>
                <w:sz w:val="24"/>
                <w:szCs w:val="24"/>
              </w:rPr>
              <w:t xml:space="preserve">hương tiện vận tải chở hàng hóa (đi qua lãnh thổ Việt Nam để xuất khẩu, nhập khẩu qua nước khác (quá cảnh, tạm nhập tái xuất, chuyển khẩu, ...) </w:t>
            </w:r>
            <w:r w:rsidR="00075B78" w:rsidRPr="00E4776D">
              <w:rPr>
                <w:sz w:val="24"/>
                <w:szCs w:val="24"/>
              </w:rPr>
              <w:t xml:space="preserve">trong đó, không bao gồm </w:t>
            </w:r>
            <w:r w:rsidR="00605A93" w:rsidRPr="00E4776D">
              <w:rPr>
                <w:sz w:val="24"/>
                <w:szCs w:val="24"/>
              </w:rPr>
              <w:t>tại Mục A phụ lục này</w:t>
            </w:r>
          </w:p>
        </w:tc>
      </w:tr>
      <w:tr w:rsidR="009619A2" w:rsidRPr="00351311" w:rsidTr="00C23D8C">
        <w:trPr>
          <w:trHeight w:val="20"/>
        </w:trPr>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6E62A2" w:rsidRPr="00856EAA" w:rsidRDefault="00064C8C" w:rsidP="004B0CB5">
            <w:pPr>
              <w:spacing w:beforeLines="60" w:before="144" w:afterLines="60" w:after="144"/>
              <w:jc w:val="center"/>
              <w:rPr>
                <w:bCs/>
              </w:rPr>
            </w:pPr>
            <w:r w:rsidRPr="00856EAA">
              <w:rPr>
                <w:bCs/>
              </w:rPr>
              <w:lastRenderedPageBreak/>
              <w:t>1</w:t>
            </w:r>
          </w:p>
        </w:tc>
        <w:tc>
          <w:tcPr>
            <w:tcW w:w="3893" w:type="dxa"/>
            <w:tcBorders>
              <w:top w:val="nil"/>
              <w:left w:val="nil"/>
              <w:bottom w:val="single" w:sz="4" w:space="0" w:color="auto"/>
              <w:right w:val="single" w:sz="4" w:space="0" w:color="auto"/>
            </w:tcBorders>
            <w:shd w:val="clear" w:color="auto" w:fill="auto"/>
            <w:vAlign w:val="center"/>
            <w:hideMark/>
          </w:tcPr>
          <w:p w:rsidR="006E62A2" w:rsidRPr="00351311" w:rsidRDefault="00064C8C" w:rsidP="004B0CB5">
            <w:pPr>
              <w:spacing w:beforeLines="60" w:before="144" w:afterLines="60" w:after="144"/>
              <w:jc w:val="both"/>
              <w:rPr>
                <w:b/>
                <w:bCs/>
                <w:strike/>
              </w:rPr>
            </w:pPr>
            <w:r w:rsidRPr="00064C8C">
              <w:t>Xe ô tô có tải trọng dưới 02 tấn, xe 03 bánh và các loại xe tương tự</w:t>
            </w:r>
          </w:p>
        </w:tc>
        <w:tc>
          <w:tcPr>
            <w:tcW w:w="1890" w:type="dxa"/>
            <w:tcBorders>
              <w:top w:val="nil"/>
              <w:left w:val="nil"/>
              <w:bottom w:val="single" w:sz="4" w:space="0" w:color="auto"/>
              <w:right w:val="single" w:sz="4" w:space="0" w:color="auto"/>
            </w:tcBorders>
            <w:shd w:val="clear" w:color="auto" w:fill="auto"/>
            <w:noWrap/>
            <w:vAlign w:val="center"/>
            <w:hideMark/>
          </w:tcPr>
          <w:p w:rsidR="006E62A2" w:rsidRPr="00064C8C" w:rsidRDefault="00064C8C" w:rsidP="004B0CB5">
            <w:pPr>
              <w:spacing w:beforeLines="60" w:before="144" w:afterLines="60" w:after="144"/>
              <w:jc w:val="right"/>
            </w:pPr>
            <w:r w:rsidRPr="00064C8C">
              <w:t>500.000</w:t>
            </w:r>
          </w:p>
        </w:tc>
        <w:tc>
          <w:tcPr>
            <w:tcW w:w="2788" w:type="dxa"/>
            <w:tcBorders>
              <w:top w:val="nil"/>
              <w:left w:val="nil"/>
              <w:bottom w:val="single" w:sz="4" w:space="0" w:color="auto"/>
              <w:right w:val="single" w:sz="4" w:space="0" w:color="auto"/>
            </w:tcBorders>
            <w:shd w:val="clear" w:color="auto" w:fill="auto"/>
            <w:noWrap/>
            <w:vAlign w:val="center"/>
            <w:hideMark/>
          </w:tcPr>
          <w:p w:rsidR="006E62A2" w:rsidRPr="00E4776D" w:rsidRDefault="006E62A2" w:rsidP="00E4776D">
            <w:pPr>
              <w:spacing w:beforeLines="60" w:before="144" w:afterLines="60" w:after="144"/>
              <w:jc w:val="both"/>
              <w:rPr>
                <w:strike/>
                <w:sz w:val="24"/>
                <w:szCs w:val="24"/>
              </w:rPr>
            </w:pPr>
          </w:p>
        </w:tc>
      </w:tr>
      <w:tr w:rsidR="009619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8F141F" w:rsidRDefault="00064C8C" w:rsidP="004B0CB5">
            <w:pPr>
              <w:spacing w:beforeLines="60" w:before="144" w:afterLines="60" w:after="144"/>
              <w:jc w:val="center"/>
            </w:pPr>
            <w:r>
              <w:t>2</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2A2" w:rsidRPr="008F141F" w:rsidRDefault="006E62A2" w:rsidP="004B0CB5">
            <w:pPr>
              <w:spacing w:beforeLines="60" w:before="144" w:afterLines="60" w:after="144"/>
              <w:jc w:val="both"/>
            </w:pPr>
            <w:r w:rsidRPr="008F141F">
              <w:t>Xe ô tô có tải trọng dưới 04 tấn</w:t>
            </w:r>
            <w:r w:rsidR="00352A92" w:rsidRPr="008F141F">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1.000.000</w:t>
            </w:r>
          </w:p>
        </w:tc>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E4776D" w:rsidRDefault="006E62A2" w:rsidP="00E4776D">
            <w:pPr>
              <w:spacing w:beforeLines="60" w:before="144" w:afterLines="60" w:after="144"/>
              <w:jc w:val="both"/>
              <w:rPr>
                <w:sz w:val="24"/>
                <w:szCs w:val="24"/>
              </w:rPr>
            </w:pPr>
            <w:r w:rsidRPr="00E4776D">
              <w:rPr>
                <w:sz w:val="24"/>
                <w:szCs w:val="24"/>
              </w:rPr>
              <w:t> </w:t>
            </w:r>
          </w:p>
        </w:tc>
      </w:tr>
      <w:tr w:rsidR="009619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8F141F" w:rsidRDefault="00064C8C" w:rsidP="004B0CB5">
            <w:pPr>
              <w:spacing w:beforeLines="60" w:before="144" w:afterLines="60" w:after="144"/>
              <w:jc w:val="center"/>
            </w:pPr>
            <w:r>
              <w:t>3</w:t>
            </w:r>
          </w:p>
        </w:tc>
        <w:tc>
          <w:tcPr>
            <w:tcW w:w="3893" w:type="dxa"/>
            <w:tcBorders>
              <w:top w:val="single" w:sz="4" w:space="0" w:color="auto"/>
              <w:left w:val="nil"/>
              <w:bottom w:val="single" w:sz="4" w:space="0" w:color="auto"/>
              <w:right w:val="single" w:sz="4" w:space="0" w:color="auto"/>
            </w:tcBorders>
            <w:shd w:val="clear" w:color="auto" w:fill="auto"/>
            <w:vAlign w:val="center"/>
            <w:hideMark/>
          </w:tcPr>
          <w:p w:rsidR="006E62A2" w:rsidRPr="008F141F" w:rsidRDefault="006E62A2" w:rsidP="004B0CB5">
            <w:pPr>
              <w:spacing w:beforeLines="60" w:before="144" w:afterLines="60" w:after="144"/>
              <w:jc w:val="both"/>
            </w:pPr>
            <w:r w:rsidRPr="008F141F">
              <w:t>Xe ô tô có tải trọng từ 04 đến dưới 10 tấn</w:t>
            </w:r>
            <w:r w:rsidR="00352A92" w:rsidRPr="008F141F">
              <w: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1.500.000</w:t>
            </w:r>
          </w:p>
        </w:tc>
        <w:tc>
          <w:tcPr>
            <w:tcW w:w="2788" w:type="dxa"/>
            <w:tcBorders>
              <w:top w:val="single" w:sz="4" w:space="0" w:color="auto"/>
              <w:left w:val="nil"/>
              <w:bottom w:val="single" w:sz="4" w:space="0" w:color="auto"/>
              <w:right w:val="single" w:sz="4" w:space="0" w:color="auto"/>
            </w:tcBorders>
            <w:shd w:val="clear" w:color="auto" w:fill="auto"/>
            <w:noWrap/>
            <w:vAlign w:val="center"/>
            <w:hideMark/>
          </w:tcPr>
          <w:p w:rsidR="006E62A2" w:rsidRPr="00E4776D" w:rsidRDefault="006E62A2" w:rsidP="00E4776D">
            <w:pPr>
              <w:spacing w:beforeLines="60" w:before="144" w:afterLines="60" w:after="144"/>
              <w:jc w:val="both"/>
              <w:rPr>
                <w:sz w:val="24"/>
                <w:szCs w:val="24"/>
              </w:rPr>
            </w:pPr>
            <w:r w:rsidRPr="00E4776D">
              <w:rPr>
                <w:sz w:val="24"/>
                <w:szCs w:val="24"/>
              </w:rPr>
              <w:t> </w:t>
            </w:r>
          </w:p>
        </w:tc>
      </w:tr>
      <w:tr w:rsidR="009619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8F141F" w:rsidRDefault="00064C8C" w:rsidP="004B0CB5">
            <w:pPr>
              <w:spacing w:beforeLines="60" w:before="144" w:afterLines="60" w:after="144"/>
              <w:jc w:val="center"/>
            </w:pPr>
            <w:r>
              <w:t>4</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2A2" w:rsidRPr="008F141F" w:rsidRDefault="006E62A2" w:rsidP="004B0CB5">
            <w:pPr>
              <w:spacing w:beforeLines="60" w:before="144" w:afterLines="60" w:after="144"/>
              <w:jc w:val="both"/>
            </w:pPr>
            <w:r w:rsidRPr="008F141F">
              <w:t>Xe ô tô có tải trọng từ 10 đến dưới 18 tấn; Xe chở hàng bằng container 20fit</w:t>
            </w:r>
            <w:r w:rsidR="00352A92" w:rsidRPr="008F141F">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2.000.000</w:t>
            </w:r>
          </w:p>
        </w:tc>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E4776D" w:rsidRDefault="006E62A2" w:rsidP="00E4776D">
            <w:pPr>
              <w:spacing w:beforeLines="60" w:before="144" w:afterLines="60" w:after="144"/>
              <w:jc w:val="both"/>
              <w:rPr>
                <w:sz w:val="24"/>
                <w:szCs w:val="24"/>
              </w:rPr>
            </w:pPr>
            <w:r w:rsidRPr="00E4776D">
              <w:rPr>
                <w:sz w:val="24"/>
                <w:szCs w:val="24"/>
              </w:rPr>
              <w:t> </w:t>
            </w:r>
          </w:p>
        </w:tc>
      </w:tr>
      <w:tr w:rsidR="009619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8F141F" w:rsidRDefault="00064C8C" w:rsidP="004B0CB5">
            <w:pPr>
              <w:spacing w:beforeLines="60" w:before="144" w:afterLines="60" w:after="144"/>
              <w:jc w:val="center"/>
            </w:pPr>
            <w:r>
              <w:t>5</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2A2" w:rsidRPr="00064C8C" w:rsidRDefault="006E62A2" w:rsidP="00352A92">
            <w:pPr>
              <w:spacing w:beforeLines="60" w:before="144" w:afterLines="60" w:after="144"/>
              <w:jc w:val="both"/>
            </w:pPr>
            <w:r w:rsidRPr="00064C8C">
              <w:t xml:space="preserve">Xe ô tô có tải trọng từ 18 tấn trở lên; </w:t>
            </w:r>
            <w:r w:rsidR="00C231A8" w:rsidRPr="00064C8C">
              <w:t xml:space="preserve">xe </w:t>
            </w:r>
            <w:r w:rsidRPr="00064C8C">
              <w:t xml:space="preserve">chở hàng bằng container </w:t>
            </w:r>
            <w:r w:rsidR="00352A92" w:rsidRPr="00064C8C">
              <w:t xml:space="preserve">từ </w:t>
            </w:r>
            <w:r w:rsidRPr="00064C8C">
              <w:t>40fit</w:t>
            </w:r>
            <w:r w:rsidR="00352A92" w:rsidRPr="00064C8C">
              <w:t xml:space="preserve"> trở lên</w:t>
            </w:r>
            <w:r w:rsidR="00592E20" w:rsidRPr="00064C8C">
              <w:t>; xe chở</w:t>
            </w:r>
            <w:r w:rsidR="00352A92" w:rsidRPr="00064C8C">
              <w:t xml:space="preserve"> hàng bằng 02 container 20fit.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064C8C" w:rsidRDefault="006E62A2" w:rsidP="004B0CB5">
            <w:pPr>
              <w:spacing w:beforeLines="60" w:before="144" w:afterLines="60" w:after="144"/>
              <w:jc w:val="right"/>
            </w:pPr>
            <w:r w:rsidRPr="00064C8C">
              <w:t>2.500.000</w:t>
            </w:r>
          </w:p>
        </w:tc>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2A2" w:rsidRPr="00E4776D" w:rsidRDefault="001A37B3" w:rsidP="00E4776D">
            <w:pPr>
              <w:spacing w:beforeLines="60" w:before="144" w:afterLines="60" w:after="144"/>
              <w:jc w:val="both"/>
              <w:rPr>
                <w:sz w:val="24"/>
                <w:szCs w:val="24"/>
              </w:rPr>
            </w:pPr>
            <w:r w:rsidRPr="00E4776D">
              <w:rPr>
                <w:sz w:val="24"/>
                <w:szCs w:val="24"/>
              </w:rPr>
              <w:t>Bổ sung đối tượng xe chở hàng bằng 02 container 20fit ; xe chở hàng bằng  container 40fit trở lên.</w:t>
            </w:r>
          </w:p>
        </w:tc>
      </w:tr>
      <w:tr w:rsidR="006E62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A2" w:rsidRPr="008F141F" w:rsidRDefault="006E62A2" w:rsidP="004B0CB5">
            <w:pPr>
              <w:spacing w:beforeLines="60" w:before="144" w:afterLines="60" w:after="144"/>
              <w:jc w:val="center"/>
              <w:rPr>
                <w:b/>
              </w:rPr>
            </w:pPr>
            <w:r w:rsidRPr="008F141F">
              <w:rPr>
                <w:b/>
              </w:rPr>
              <w:t>C</w:t>
            </w:r>
          </w:p>
        </w:tc>
        <w:tc>
          <w:tcPr>
            <w:tcW w:w="3893"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both"/>
              <w:rPr>
                <w:b/>
              </w:rPr>
            </w:pPr>
            <w:r w:rsidRPr="008F141F">
              <w:rPr>
                <w:b/>
              </w:rPr>
              <w:t>Xe Khách</w:t>
            </w:r>
            <w:r w:rsidRPr="008F141F">
              <w:t xml:space="preserve"> (Bao gồm xe khách có chở khách, xe khách không chở khách nhưng có chở hàng hóa)</w:t>
            </w:r>
          </w:p>
        </w:tc>
        <w:tc>
          <w:tcPr>
            <w:tcW w:w="1890" w:type="dxa"/>
            <w:tcBorders>
              <w:top w:val="single" w:sz="4" w:space="0" w:color="auto"/>
              <w:left w:val="nil"/>
              <w:bottom w:val="single" w:sz="4" w:space="0" w:color="auto"/>
              <w:right w:val="single" w:sz="4" w:space="0" w:color="auto"/>
            </w:tcBorders>
            <w:shd w:val="clear" w:color="auto" w:fill="auto"/>
            <w:vAlign w:val="center"/>
          </w:tcPr>
          <w:p w:rsidR="006E62A2" w:rsidRPr="00064C8C" w:rsidRDefault="006E62A2" w:rsidP="004B0CB5">
            <w:pPr>
              <w:spacing w:beforeLines="60" w:before="144" w:afterLines="60" w:after="144"/>
              <w:jc w:val="right"/>
            </w:pPr>
          </w:p>
        </w:tc>
        <w:tc>
          <w:tcPr>
            <w:tcW w:w="2788" w:type="dxa"/>
            <w:tcBorders>
              <w:top w:val="single" w:sz="4" w:space="0" w:color="auto"/>
              <w:left w:val="nil"/>
              <w:bottom w:val="single" w:sz="4" w:space="0" w:color="auto"/>
              <w:right w:val="single" w:sz="4" w:space="0" w:color="auto"/>
            </w:tcBorders>
            <w:shd w:val="clear" w:color="auto" w:fill="auto"/>
            <w:noWrap/>
            <w:vAlign w:val="center"/>
          </w:tcPr>
          <w:p w:rsidR="006E62A2" w:rsidRPr="00E4776D" w:rsidRDefault="006E62A2" w:rsidP="00E4776D">
            <w:pPr>
              <w:spacing w:beforeLines="60" w:before="144" w:afterLines="60" w:after="144"/>
              <w:jc w:val="both"/>
              <w:rPr>
                <w:sz w:val="24"/>
                <w:szCs w:val="24"/>
              </w:rPr>
            </w:pPr>
          </w:p>
        </w:tc>
      </w:tr>
      <w:tr w:rsidR="006E62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A2" w:rsidRPr="008F141F" w:rsidRDefault="006E62A2" w:rsidP="004B0CB5">
            <w:pPr>
              <w:spacing w:beforeLines="60" w:before="144" w:afterLines="60" w:after="144"/>
              <w:jc w:val="center"/>
            </w:pPr>
            <w:r w:rsidRPr="008F141F">
              <w:t>1</w:t>
            </w:r>
          </w:p>
        </w:tc>
        <w:tc>
          <w:tcPr>
            <w:tcW w:w="3893"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both"/>
            </w:pPr>
            <w:r w:rsidRPr="008F141F">
              <w:t>Dưới 12 chỗ ngồi</w:t>
            </w:r>
          </w:p>
        </w:tc>
        <w:tc>
          <w:tcPr>
            <w:tcW w:w="1890" w:type="dxa"/>
            <w:tcBorders>
              <w:top w:val="single" w:sz="4" w:space="0" w:color="auto"/>
              <w:left w:val="nil"/>
              <w:bottom w:val="single" w:sz="4" w:space="0" w:color="auto"/>
              <w:right w:val="single" w:sz="4" w:space="0" w:color="auto"/>
            </w:tcBorders>
            <w:shd w:val="clear" w:color="auto" w:fill="auto"/>
            <w:vAlign w:val="center"/>
          </w:tcPr>
          <w:p w:rsidR="006E62A2" w:rsidRPr="00064C8C" w:rsidRDefault="006E62A2" w:rsidP="004B0CB5">
            <w:pPr>
              <w:spacing w:beforeLines="60" w:before="144" w:afterLines="60" w:after="144"/>
              <w:jc w:val="right"/>
            </w:pPr>
            <w:r w:rsidRPr="00064C8C">
              <w:t>40.000</w:t>
            </w:r>
          </w:p>
        </w:tc>
        <w:tc>
          <w:tcPr>
            <w:tcW w:w="2788" w:type="dxa"/>
            <w:tcBorders>
              <w:top w:val="single" w:sz="4" w:space="0" w:color="auto"/>
              <w:left w:val="nil"/>
              <w:bottom w:val="single" w:sz="4" w:space="0" w:color="auto"/>
              <w:right w:val="single" w:sz="4" w:space="0" w:color="auto"/>
            </w:tcBorders>
            <w:shd w:val="clear" w:color="auto" w:fill="auto"/>
            <w:noWrap/>
            <w:vAlign w:val="center"/>
          </w:tcPr>
          <w:p w:rsidR="006E62A2" w:rsidRPr="00E4776D" w:rsidRDefault="00E4776D" w:rsidP="00E4776D">
            <w:pPr>
              <w:spacing w:beforeLines="60" w:before="144" w:afterLines="60" w:after="144"/>
              <w:jc w:val="both"/>
              <w:rPr>
                <w:sz w:val="24"/>
                <w:szCs w:val="24"/>
              </w:rPr>
            </w:pPr>
            <w:r w:rsidRPr="00E4776D">
              <w:rPr>
                <w:sz w:val="24"/>
                <w:szCs w:val="24"/>
              </w:rPr>
              <w:t>Không thay đổi so với Nghị quyết số 05/2021/NQ-HĐND</w:t>
            </w:r>
          </w:p>
        </w:tc>
      </w:tr>
      <w:tr w:rsidR="006E62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A2" w:rsidRPr="008F141F" w:rsidRDefault="006E62A2" w:rsidP="004B0CB5">
            <w:pPr>
              <w:spacing w:beforeLines="60" w:before="144" w:afterLines="60" w:after="144"/>
              <w:jc w:val="center"/>
            </w:pPr>
            <w:r w:rsidRPr="008F141F">
              <w:lastRenderedPageBreak/>
              <w:t>2</w:t>
            </w:r>
          </w:p>
        </w:tc>
        <w:tc>
          <w:tcPr>
            <w:tcW w:w="3893"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both"/>
            </w:pPr>
            <w:r w:rsidRPr="008F141F">
              <w:t>Từ 12 đến 30 chỗ ngồi</w:t>
            </w:r>
          </w:p>
        </w:tc>
        <w:tc>
          <w:tcPr>
            <w:tcW w:w="1890"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right"/>
            </w:pPr>
            <w:r w:rsidRPr="008F141F">
              <w:t>60.000</w:t>
            </w:r>
          </w:p>
        </w:tc>
        <w:tc>
          <w:tcPr>
            <w:tcW w:w="2788" w:type="dxa"/>
            <w:tcBorders>
              <w:top w:val="single" w:sz="4" w:space="0" w:color="auto"/>
              <w:left w:val="nil"/>
              <w:bottom w:val="single" w:sz="4" w:space="0" w:color="auto"/>
              <w:right w:val="single" w:sz="4" w:space="0" w:color="auto"/>
            </w:tcBorders>
            <w:shd w:val="clear" w:color="auto" w:fill="auto"/>
            <w:noWrap/>
            <w:vAlign w:val="center"/>
          </w:tcPr>
          <w:p w:rsidR="006E62A2" w:rsidRPr="00E4776D" w:rsidRDefault="00E4776D" w:rsidP="00E4776D">
            <w:pPr>
              <w:spacing w:beforeLines="60" w:before="144" w:afterLines="60" w:after="144"/>
              <w:jc w:val="both"/>
              <w:rPr>
                <w:sz w:val="24"/>
                <w:szCs w:val="24"/>
              </w:rPr>
            </w:pPr>
            <w:r w:rsidRPr="00E4776D">
              <w:rPr>
                <w:sz w:val="24"/>
                <w:szCs w:val="24"/>
              </w:rPr>
              <w:t>Không thay đổi so với Nghị quyết số 05/2021/NQ-HĐND</w:t>
            </w:r>
          </w:p>
        </w:tc>
      </w:tr>
      <w:tr w:rsidR="006E62A2" w:rsidRPr="008F141F" w:rsidTr="00C23D8C">
        <w:trPr>
          <w:trHeight w:val="2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2A2" w:rsidRPr="008F141F" w:rsidRDefault="006E62A2" w:rsidP="004B0CB5">
            <w:pPr>
              <w:spacing w:beforeLines="60" w:before="144" w:afterLines="60" w:after="144"/>
              <w:jc w:val="center"/>
            </w:pPr>
            <w:r w:rsidRPr="008F141F">
              <w:t>3</w:t>
            </w:r>
          </w:p>
        </w:tc>
        <w:tc>
          <w:tcPr>
            <w:tcW w:w="3893"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both"/>
            </w:pPr>
            <w:r w:rsidRPr="008F141F">
              <w:t>Từ 31 chỗ ngồi trở lên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E62A2" w:rsidRPr="008F141F" w:rsidRDefault="006E62A2" w:rsidP="004B0CB5">
            <w:pPr>
              <w:spacing w:beforeLines="60" w:before="144" w:afterLines="60" w:after="144"/>
              <w:jc w:val="right"/>
            </w:pPr>
            <w:r w:rsidRPr="008F141F">
              <w:t>100.000</w:t>
            </w:r>
          </w:p>
        </w:tc>
        <w:tc>
          <w:tcPr>
            <w:tcW w:w="2788" w:type="dxa"/>
            <w:tcBorders>
              <w:top w:val="single" w:sz="4" w:space="0" w:color="auto"/>
              <w:left w:val="nil"/>
              <w:bottom w:val="single" w:sz="4" w:space="0" w:color="auto"/>
              <w:right w:val="single" w:sz="4" w:space="0" w:color="auto"/>
            </w:tcBorders>
            <w:shd w:val="clear" w:color="auto" w:fill="auto"/>
            <w:noWrap/>
            <w:vAlign w:val="center"/>
          </w:tcPr>
          <w:p w:rsidR="006E62A2" w:rsidRPr="00E4776D" w:rsidRDefault="00E4776D" w:rsidP="00E4776D">
            <w:pPr>
              <w:spacing w:beforeLines="60" w:before="144" w:afterLines="60" w:after="144"/>
              <w:jc w:val="both"/>
              <w:rPr>
                <w:sz w:val="24"/>
                <w:szCs w:val="24"/>
              </w:rPr>
            </w:pPr>
            <w:r w:rsidRPr="00E4776D">
              <w:rPr>
                <w:sz w:val="24"/>
                <w:szCs w:val="24"/>
              </w:rPr>
              <w:t>Không thay đổi so với Nghị quyết số 05/2021/NQ-HĐND</w:t>
            </w:r>
          </w:p>
        </w:tc>
      </w:tr>
    </w:tbl>
    <w:p w:rsidR="00774737" w:rsidRPr="00610849" w:rsidRDefault="00DB30A1" w:rsidP="00100B60">
      <w:pPr>
        <w:spacing w:before="120" w:after="120"/>
        <w:ind w:firstLine="720"/>
        <w:jc w:val="both"/>
        <w:rPr>
          <w:b/>
        </w:rPr>
      </w:pPr>
      <w:r w:rsidRPr="00610849">
        <w:rPr>
          <w:b/>
        </w:rPr>
        <w:t>2.</w:t>
      </w:r>
      <w:r w:rsidR="001A25F5" w:rsidRPr="00610849">
        <w:rPr>
          <w:b/>
        </w:rPr>
        <w:t xml:space="preserve"> </w:t>
      </w:r>
      <w:r w:rsidR="00774737" w:rsidRPr="00610849">
        <w:rPr>
          <w:b/>
        </w:rPr>
        <w:t>Địa bàn thu</w:t>
      </w:r>
    </w:p>
    <w:p w:rsidR="00D23E16" w:rsidRPr="008F141F" w:rsidRDefault="00D23E16" w:rsidP="00100B60">
      <w:pPr>
        <w:spacing w:before="120" w:after="120"/>
        <w:ind w:firstLine="720"/>
        <w:jc w:val="both"/>
        <w:rPr>
          <w:b/>
        </w:rPr>
      </w:pPr>
      <w:r w:rsidRPr="00610849">
        <w:rPr>
          <w:bCs/>
          <w:lang w:val="en-GB"/>
        </w:rPr>
        <w:t xml:space="preserve">Áp dụng tại các </w:t>
      </w:r>
      <w:r w:rsidRPr="00610849">
        <w:t>cửa khẩu quốc tế, cửa khẩu chính trên địa bàn tỉnh Tây Ninh</w:t>
      </w:r>
      <w:r w:rsidR="008D6FEB">
        <w:t xml:space="preserve"> gồm: </w:t>
      </w:r>
    </w:p>
    <w:p w:rsidR="008D6FEB" w:rsidRPr="008D6FEB" w:rsidRDefault="008D6FEB" w:rsidP="005502F4">
      <w:pPr>
        <w:spacing w:before="120" w:after="120"/>
        <w:ind w:firstLine="720"/>
        <w:jc w:val="both"/>
        <w:rPr>
          <w:b/>
          <w:color w:val="FF0000"/>
        </w:rPr>
      </w:pPr>
      <w:r w:rsidRPr="008D6FEB">
        <w:rPr>
          <w:b/>
          <w:color w:val="FF0000"/>
        </w:rPr>
        <w:t>2.1 Địa bàn thu phí tại các cửa khẩu chính, cửa khẩu quốc tế trong Khu kinh tế</w:t>
      </w:r>
    </w:p>
    <w:p w:rsidR="00026997" w:rsidRPr="008F141F" w:rsidRDefault="00D23E16" w:rsidP="005502F4">
      <w:pPr>
        <w:spacing w:before="120" w:after="120"/>
        <w:ind w:firstLine="720"/>
        <w:jc w:val="both"/>
        <w:rPr>
          <w:i/>
        </w:rPr>
      </w:pPr>
      <w:r w:rsidRPr="008F141F">
        <w:rPr>
          <w:i/>
        </w:rPr>
        <w:t>Kế thừa địa bàn theo quy định tại Nghị quyết số 05/2021/NQ-HĐND</w:t>
      </w:r>
      <w:r w:rsidR="008D6FEB">
        <w:rPr>
          <w:i/>
        </w:rPr>
        <w:t xml:space="preserve"> gồm:</w:t>
      </w:r>
    </w:p>
    <w:p w:rsidR="005502F4" w:rsidRPr="008F141F" w:rsidRDefault="005502F4" w:rsidP="005502F4">
      <w:pPr>
        <w:spacing w:before="120" w:after="120"/>
        <w:ind w:firstLine="720"/>
        <w:jc w:val="both"/>
      </w:pPr>
      <w:r w:rsidRPr="008F141F">
        <w:t xml:space="preserve">- </w:t>
      </w:r>
      <w:r w:rsidRPr="008F141F">
        <w:rPr>
          <w:i/>
        </w:rPr>
        <w:t>Các cửa khẩu quốc tế:</w:t>
      </w:r>
      <w:r w:rsidRPr="008F141F">
        <w:t xml:space="preserve"> Mộc Bài, Xa Mát, Tân Nam.</w:t>
      </w:r>
    </w:p>
    <w:p w:rsidR="005502F4" w:rsidRPr="00D04DF7" w:rsidRDefault="005502F4" w:rsidP="005502F4">
      <w:pPr>
        <w:spacing w:before="120" w:after="120"/>
        <w:ind w:firstLine="720"/>
        <w:jc w:val="both"/>
        <w:rPr>
          <w:color w:val="FF0000"/>
        </w:rPr>
      </w:pPr>
      <w:r w:rsidRPr="008F141F">
        <w:t xml:space="preserve">- </w:t>
      </w:r>
      <w:r w:rsidR="00B42109" w:rsidRPr="008F141F">
        <w:rPr>
          <w:i/>
        </w:rPr>
        <w:t>C</w:t>
      </w:r>
      <w:r w:rsidRPr="008F141F">
        <w:rPr>
          <w:i/>
        </w:rPr>
        <w:t>ửa khẩu chính:</w:t>
      </w:r>
      <w:r w:rsidRPr="008F141F">
        <w:t xml:space="preserve"> Chàng Riệc.</w:t>
      </w:r>
    </w:p>
    <w:p w:rsidR="008D6FEB" w:rsidRPr="008D6FEB" w:rsidRDefault="008D6FEB" w:rsidP="00D04DF7">
      <w:pPr>
        <w:spacing w:before="120" w:after="120"/>
        <w:ind w:firstLine="720"/>
        <w:jc w:val="both"/>
        <w:rPr>
          <w:b/>
          <w:color w:val="FF0000"/>
        </w:rPr>
      </w:pPr>
      <w:r w:rsidRPr="008D6FEB">
        <w:rPr>
          <w:b/>
          <w:color w:val="FF0000"/>
        </w:rPr>
        <w:t>2.2</w:t>
      </w:r>
      <w:r w:rsidR="00961F05" w:rsidRPr="008D6FEB">
        <w:rPr>
          <w:b/>
          <w:color w:val="FF0000"/>
        </w:rPr>
        <w:t xml:space="preserve">. </w:t>
      </w:r>
      <w:r w:rsidRPr="008D6FEB">
        <w:rPr>
          <w:b/>
          <w:color w:val="FF0000"/>
        </w:rPr>
        <w:t>Đ</w:t>
      </w:r>
      <w:r w:rsidR="001A25F5" w:rsidRPr="008D6FEB">
        <w:rPr>
          <w:b/>
          <w:color w:val="FF0000"/>
        </w:rPr>
        <w:t xml:space="preserve">ịa bàn thu phí tại </w:t>
      </w:r>
      <w:r w:rsidR="00026997" w:rsidRPr="008D6FEB">
        <w:rPr>
          <w:b/>
          <w:color w:val="FF0000"/>
        </w:rPr>
        <w:t xml:space="preserve">các </w:t>
      </w:r>
      <w:r w:rsidR="001816B3" w:rsidRPr="008D6FEB">
        <w:rPr>
          <w:b/>
          <w:color w:val="FF0000"/>
        </w:rPr>
        <w:t>cửa khẩu chính</w:t>
      </w:r>
      <w:r w:rsidR="00610849" w:rsidRPr="008D6FEB">
        <w:rPr>
          <w:b/>
          <w:color w:val="FF0000"/>
        </w:rPr>
        <w:t xml:space="preserve"> nằm ngoài khu kinh tế</w:t>
      </w:r>
    </w:p>
    <w:p w:rsidR="00D04DF7" w:rsidRPr="00D04DF7" w:rsidRDefault="008D6FEB" w:rsidP="00D04DF7">
      <w:pPr>
        <w:spacing w:before="120" w:after="120"/>
        <w:ind w:firstLine="720"/>
        <w:jc w:val="both"/>
        <w:rPr>
          <w:color w:val="FF0000"/>
        </w:rPr>
      </w:pPr>
      <w:r w:rsidRPr="00D04DF7">
        <w:rPr>
          <w:color w:val="FF0000"/>
        </w:rPr>
        <w:t xml:space="preserve">Căn </w:t>
      </w:r>
      <w:r w:rsidR="00D04DF7" w:rsidRPr="00D04DF7">
        <w:rPr>
          <w:color w:val="FF0000"/>
        </w:rPr>
        <w:t xml:space="preserve">cứ tình hình </w:t>
      </w:r>
      <w:r w:rsidR="00FB61D1">
        <w:rPr>
          <w:color w:val="FF0000"/>
        </w:rPr>
        <w:t xml:space="preserve">thực tế </w:t>
      </w:r>
      <w:r w:rsidR="00D04DF7" w:rsidRPr="00D04DF7">
        <w:rPr>
          <w:color w:val="FF0000"/>
        </w:rPr>
        <w:t xml:space="preserve">của chính quyền địa phương (cấp xã sau khi sáp nhập) Ủy </w:t>
      </w:r>
      <w:r w:rsidR="00E206F0" w:rsidRPr="00D04DF7">
        <w:rPr>
          <w:color w:val="FF0000"/>
        </w:rPr>
        <w:t xml:space="preserve">ban </w:t>
      </w:r>
      <w:r w:rsidR="00D04DF7" w:rsidRPr="00D04DF7">
        <w:rPr>
          <w:color w:val="FF0000"/>
        </w:rPr>
        <w:t>nhân dân tỉnh hướng dẫn thực hiện</w:t>
      </w:r>
      <w:r>
        <w:rPr>
          <w:color w:val="FF0000"/>
        </w:rPr>
        <w:t xml:space="preserve"> nội dung này</w:t>
      </w:r>
      <w:r w:rsidR="00D04DF7" w:rsidRPr="00D04DF7">
        <w:rPr>
          <w:color w:val="FF0000"/>
        </w:rPr>
        <w:t>.</w:t>
      </w:r>
      <w:r w:rsidR="003D1DE6">
        <w:rPr>
          <w:color w:val="FF0000"/>
        </w:rPr>
        <w:t xml:space="preserve"> </w:t>
      </w:r>
    </w:p>
    <w:p w:rsidR="003733A6" w:rsidRDefault="00DB30A1" w:rsidP="00D04DF7">
      <w:pPr>
        <w:spacing w:before="120" w:after="120"/>
        <w:ind w:firstLine="720"/>
        <w:jc w:val="both"/>
        <w:rPr>
          <w:b/>
          <w:color w:val="000000" w:themeColor="text1"/>
        </w:rPr>
      </w:pPr>
      <w:r w:rsidRPr="008F141F">
        <w:rPr>
          <w:b/>
          <w:color w:val="000000" w:themeColor="text1"/>
        </w:rPr>
        <w:t xml:space="preserve">3. </w:t>
      </w:r>
      <w:r w:rsidR="003733A6" w:rsidRPr="008F141F">
        <w:rPr>
          <w:b/>
          <w:color w:val="000000" w:themeColor="text1"/>
        </w:rPr>
        <w:t xml:space="preserve">Tỷ lệ phần trăm </w:t>
      </w:r>
      <w:r w:rsidRPr="008F141F">
        <w:rPr>
          <w:b/>
          <w:color w:val="000000" w:themeColor="text1"/>
        </w:rPr>
        <w:t xml:space="preserve">(%) </w:t>
      </w:r>
      <w:r w:rsidR="003733A6" w:rsidRPr="008F141F">
        <w:rPr>
          <w:b/>
          <w:color w:val="000000" w:themeColor="text1"/>
        </w:rPr>
        <w:t>để lại cho đơn</w:t>
      </w:r>
      <w:r w:rsidR="00A45728" w:rsidRPr="008F141F">
        <w:rPr>
          <w:b/>
          <w:color w:val="000000" w:themeColor="text1"/>
        </w:rPr>
        <w:t xml:space="preserve"> vị thu</w:t>
      </w:r>
    </w:p>
    <w:p w:rsidR="00D04DF7" w:rsidRPr="008D6FEB" w:rsidRDefault="00D04DF7" w:rsidP="00D04DF7">
      <w:pPr>
        <w:spacing w:before="120" w:after="120"/>
        <w:ind w:firstLine="720"/>
        <w:jc w:val="both"/>
        <w:rPr>
          <w:b/>
          <w:color w:val="FF0000"/>
        </w:rPr>
      </w:pPr>
      <w:r w:rsidRPr="008D6FEB">
        <w:rPr>
          <w:b/>
          <w:color w:val="FF0000"/>
        </w:rPr>
        <w:t>3</w:t>
      </w:r>
      <w:r w:rsidR="00FB61D1" w:rsidRPr="008D6FEB">
        <w:rPr>
          <w:b/>
          <w:color w:val="FF0000"/>
        </w:rPr>
        <w:t>.1</w:t>
      </w:r>
      <w:r w:rsidRPr="008D6FEB">
        <w:rPr>
          <w:b/>
          <w:color w:val="FF0000"/>
        </w:rPr>
        <w:t xml:space="preserve"> Tỷ lệ để lại đơn vị thu</w:t>
      </w:r>
      <w:r w:rsidR="00FB61D1" w:rsidRPr="008D6FEB">
        <w:rPr>
          <w:b/>
          <w:color w:val="FF0000"/>
        </w:rPr>
        <w:t xml:space="preserve"> trong Khu kinh tế</w:t>
      </w:r>
    </w:p>
    <w:p w:rsidR="00FF6D57" w:rsidRPr="00FB61D1" w:rsidRDefault="003733A6" w:rsidP="00BC01A4">
      <w:pPr>
        <w:spacing w:before="120" w:after="120"/>
        <w:ind w:firstLine="720"/>
        <w:jc w:val="both"/>
        <w:rPr>
          <w:iCs/>
        </w:rPr>
      </w:pPr>
      <w:r w:rsidRPr="00FB61D1">
        <w:rPr>
          <w:bCs/>
        </w:rPr>
        <w:t xml:space="preserve">Căn cứ tình hình thực tế, đơn vị thu phí tham mưu đề xuất </w:t>
      </w:r>
      <w:r w:rsidRPr="00FB61D1">
        <w:t xml:space="preserve">thống nhất 01 cơ quan thu phí với 01 </w:t>
      </w:r>
      <w:r w:rsidRPr="00FB61D1">
        <w:rPr>
          <w:bCs/>
        </w:rPr>
        <w:t xml:space="preserve">tỷ lệ phần trăm để lại đơn vị thu để chi phí cần thiết cho các hoạt động cung cấp dịch vụ tại cửa khẩu </w:t>
      </w:r>
      <w:r w:rsidR="00610849" w:rsidRPr="00FB61D1">
        <w:rPr>
          <w:bCs/>
        </w:rPr>
        <w:t xml:space="preserve">(Mộc Bài, Xa Mát, Tân Nam, Chàng Riệc) </w:t>
      </w:r>
      <w:r w:rsidRPr="00FB61D1">
        <w:rPr>
          <w:bCs/>
        </w:rPr>
        <w:t xml:space="preserve">là </w:t>
      </w:r>
      <w:r w:rsidR="00610849" w:rsidRPr="00FB61D1">
        <w:rPr>
          <w:b/>
          <w:bCs/>
        </w:rPr>
        <w:t>7</w:t>
      </w:r>
      <w:r w:rsidRPr="00FB61D1">
        <w:rPr>
          <w:b/>
          <w:bCs/>
        </w:rPr>
        <w:t>%</w:t>
      </w:r>
      <w:r w:rsidRPr="00FB61D1">
        <w:rPr>
          <w:bCs/>
        </w:rPr>
        <w:t xml:space="preserve"> trên tổng số thu tại các cửa khẩu</w:t>
      </w:r>
      <w:r w:rsidRPr="00FB61D1">
        <w:rPr>
          <w:iCs/>
        </w:rPr>
        <w:t>.</w:t>
      </w:r>
      <w:r w:rsidR="00FF6D57" w:rsidRPr="00FB61D1">
        <w:rPr>
          <w:iCs/>
        </w:rPr>
        <w:t xml:space="preserve"> </w:t>
      </w:r>
      <w:r w:rsidR="008E33EB" w:rsidRPr="00FB61D1">
        <w:rPr>
          <w:iCs/>
        </w:rPr>
        <w:t>Cụ thể:</w:t>
      </w:r>
    </w:p>
    <w:p w:rsidR="00941508" w:rsidRPr="00FB61D1" w:rsidRDefault="008670A2" w:rsidP="00BC01A4">
      <w:pPr>
        <w:spacing w:before="120" w:after="120"/>
        <w:ind w:firstLine="720"/>
        <w:jc w:val="both"/>
        <w:rPr>
          <w:iCs/>
        </w:rPr>
      </w:pPr>
      <w:r w:rsidRPr="00FB61D1">
        <w:rPr>
          <w:iCs/>
        </w:rPr>
        <w:t xml:space="preserve">Dự kiến tổng số thu </w:t>
      </w:r>
      <w:r w:rsidR="005502F4" w:rsidRPr="00FB61D1">
        <w:rPr>
          <w:iCs/>
        </w:rPr>
        <w:t>các</w:t>
      </w:r>
      <w:r w:rsidRPr="00FB61D1">
        <w:rPr>
          <w:iCs/>
        </w:rPr>
        <w:t xml:space="preserve"> cửa khẩu </w:t>
      </w:r>
      <w:r w:rsidR="001F4F3D" w:rsidRPr="00FB61D1">
        <w:rPr>
          <w:iCs/>
        </w:rPr>
        <w:t xml:space="preserve">bình quân mỗi năm </w:t>
      </w:r>
      <w:r w:rsidRPr="00FB61D1">
        <w:rPr>
          <w:iCs/>
        </w:rPr>
        <w:t xml:space="preserve">trong giai đoạn 2025 </w:t>
      </w:r>
      <w:r w:rsidR="001F4F3D" w:rsidRPr="00FB61D1">
        <w:rPr>
          <w:iCs/>
        </w:rPr>
        <w:t>-</w:t>
      </w:r>
      <w:r w:rsidRPr="00FB61D1">
        <w:rPr>
          <w:iCs/>
        </w:rPr>
        <w:t>20</w:t>
      </w:r>
      <w:r w:rsidR="009D0952" w:rsidRPr="00FB61D1">
        <w:rPr>
          <w:iCs/>
        </w:rPr>
        <w:t>29</w:t>
      </w:r>
      <w:r w:rsidR="00941508" w:rsidRPr="00FB61D1">
        <w:rPr>
          <w:iCs/>
        </w:rPr>
        <w:t>:</w:t>
      </w:r>
      <w:r w:rsidR="00D52D20" w:rsidRPr="00FB61D1">
        <w:t xml:space="preserve"> </w:t>
      </w:r>
      <w:r w:rsidR="00610849" w:rsidRPr="00FB61D1">
        <w:rPr>
          <w:b/>
          <w:iCs/>
        </w:rPr>
        <w:t xml:space="preserve">358.834.493.375 </w:t>
      </w:r>
      <w:r w:rsidR="00D52D20" w:rsidRPr="00FB61D1">
        <w:rPr>
          <w:iCs/>
        </w:rPr>
        <w:t>đồng</w:t>
      </w:r>
      <w:r w:rsidR="00FF6D57" w:rsidRPr="00FB61D1">
        <w:rPr>
          <w:iCs/>
        </w:rPr>
        <w:t>.</w:t>
      </w:r>
      <w:r w:rsidR="00D52D20" w:rsidRPr="00FB61D1">
        <w:rPr>
          <w:iCs/>
        </w:rPr>
        <w:t xml:space="preserve"> </w:t>
      </w:r>
      <w:r w:rsidR="00FF6D57" w:rsidRPr="00FB61D1">
        <w:rPr>
          <w:iCs/>
        </w:rPr>
        <w:t xml:space="preserve">Trong </w:t>
      </w:r>
      <w:r w:rsidR="00D52D20" w:rsidRPr="00FB61D1">
        <w:rPr>
          <w:iCs/>
        </w:rPr>
        <w:t>đó:</w:t>
      </w:r>
    </w:p>
    <w:p w:rsidR="00D52D20" w:rsidRPr="00FB61D1" w:rsidRDefault="00D52D20" w:rsidP="00BC01A4">
      <w:pPr>
        <w:pStyle w:val="ListParagraph"/>
        <w:numPr>
          <w:ilvl w:val="0"/>
          <w:numId w:val="3"/>
        </w:numPr>
        <w:tabs>
          <w:tab w:val="left" w:pos="993"/>
        </w:tabs>
        <w:spacing w:before="120" w:after="120"/>
        <w:ind w:left="1080"/>
        <w:jc w:val="both"/>
        <w:rPr>
          <w:sz w:val="28"/>
          <w:szCs w:val="28"/>
        </w:rPr>
      </w:pPr>
      <w:r w:rsidRPr="00FB61D1">
        <w:rPr>
          <w:i/>
          <w:sz w:val="28"/>
          <w:szCs w:val="28"/>
        </w:rPr>
        <w:t>Mộc Bài:</w:t>
      </w:r>
      <w:r w:rsidRPr="00FB61D1">
        <w:rPr>
          <w:sz w:val="28"/>
          <w:szCs w:val="28"/>
        </w:rPr>
        <w:t xml:space="preserve"> </w:t>
      </w:r>
      <w:r w:rsidR="00FF6D57" w:rsidRPr="00FB61D1">
        <w:rPr>
          <w:b/>
          <w:sz w:val="28"/>
          <w:szCs w:val="28"/>
        </w:rPr>
        <w:t>298.384.087.500</w:t>
      </w:r>
      <w:r w:rsidR="00FF6D57" w:rsidRPr="00FB61D1">
        <w:rPr>
          <w:sz w:val="28"/>
          <w:szCs w:val="28"/>
        </w:rPr>
        <w:t xml:space="preserve"> đồng.</w:t>
      </w:r>
    </w:p>
    <w:p w:rsidR="00D52D20" w:rsidRPr="00FB61D1" w:rsidRDefault="00D52D20" w:rsidP="00BC01A4">
      <w:pPr>
        <w:pStyle w:val="ListParagraph"/>
        <w:numPr>
          <w:ilvl w:val="0"/>
          <w:numId w:val="3"/>
        </w:numPr>
        <w:tabs>
          <w:tab w:val="left" w:pos="993"/>
        </w:tabs>
        <w:spacing w:before="120" w:after="120"/>
        <w:ind w:left="1080"/>
        <w:jc w:val="both"/>
        <w:rPr>
          <w:sz w:val="28"/>
          <w:szCs w:val="28"/>
        </w:rPr>
      </w:pPr>
      <w:r w:rsidRPr="00FB61D1">
        <w:rPr>
          <w:i/>
          <w:sz w:val="28"/>
          <w:szCs w:val="28"/>
        </w:rPr>
        <w:t>Xa Mát:</w:t>
      </w:r>
      <w:r w:rsidRPr="00FB61D1">
        <w:rPr>
          <w:sz w:val="28"/>
          <w:szCs w:val="28"/>
        </w:rPr>
        <w:t xml:space="preserve">  </w:t>
      </w:r>
      <w:r w:rsidR="00FF6D57" w:rsidRPr="00FB61D1">
        <w:rPr>
          <w:b/>
          <w:sz w:val="28"/>
          <w:szCs w:val="28"/>
        </w:rPr>
        <w:t xml:space="preserve">35.364.040.000 </w:t>
      </w:r>
      <w:r w:rsidRPr="00FB61D1">
        <w:rPr>
          <w:sz w:val="28"/>
          <w:szCs w:val="28"/>
        </w:rPr>
        <w:t xml:space="preserve">đồng </w:t>
      </w:r>
      <w:r w:rsidR="00FF6D57" w:rsidRPr="00FB61D1">
        <w:rPr>
          <w:sz w:val="28"/>
          <w:szCs w:val="28"/>
        </w:rPr>
        <w:t>.</w:t>
      </w:r>
    </w:p>
    <w:p w:rsidR="00D52D20" w:rsidRPr="00FB61D1" w:rsidRDefault="00D52D20" w:rsidP="00BC01A4">
      <w:pPr>
        <w:pStyle w:val="ListParagraph"/>
        <w:numPr>
          <w:ilvl w:val="0"/>
          <w:numId w:val="3"/>
        </w:numPr>
        <w:tabs>
          <w:tab w:val="left" w:pos="993"/>
        </w:tabs>
        <w:spacing w:before="120" w:after="120"/>
        <w:ind w:left="1080"/>
        <w:jc w:val="both"/>
        <w:rPr>
          <w:sz w:val="28"/>
          <w:szCs w:val="28"/>
        </w:rPr>
      </w:pPr>
      <w:r w:rsidRPr="00FB61D1">
        <w:rPr>
          <w:i/>
          <w:sz w:val="28"/>
          <w:szCs w:val="28"/>
        </w:rPr>
        <w:t>Tân Nam:</w:t>
      </w:r>
      <w:r w:rsidRPr="00FB61D1">
        <w:rPr>
          <w:sz w:val="28"/>
          <w:szCs w:val="28"/>
        </w:rPr>
        <w:t xml:space="preserve"> </w:t>
      </w:r>
      <w:r w:rsidR="00FF6D57" w:rsidRPr="00FB61D1">
        <w:rPr>
          <w:b/>
          <w:sz w:val="28"/>
          <w:szCs w:val="28"/>
        </w:rPr>
        <w:t xml:space="preserve">2.983.840.875 </w:t>
      </w:r>
      <w:r w:rsidR="00FF6D57" w:rsidRPr="00FB61D1">
        <w:rPr>
          <w:sz w:val="28"/>
          <w:szCs w:val="28"/>
        </w:rPr>
        <w:t>.</w:t>
      </w:r>
    </w:p>
    <w:p w:rsidR="00D52D20" w:rsidRPr="00FB61D1" w:rsidRDefault="00D52D20" w:rsidP="00BC01A4">
      <w:pPr>
        <w:pStyle w:val="ListParagraph"/>
        <w:numPr>
          <w:ilvl w:val="0"/>
          <w:numId w:val="3"/>
        </w:numPr>
        <w:tabs>
          <w:tab w:val="left" w:pos="993"/>
        </w:tabs>
        <w:spacing w:before="120" w:after="120"/>
        <w:ind w:left="1080"/>
        <w:jc w:val="both"/>
        <w:rPr>
          <w:sz w:val="28"/>
          <w:szCs w:val="28"/>
        </w:rPr>
      </w:pPr>
      <w:r w:rsidRPr="00FB61D1">
        <w:rPr>
          <w:i/>
          <w:sz w:val="28"/>
          <w:szCs w:val="28"/>
        </w:rPr>
        <w:t>Chàng Riệc:</w:t>
      </w:r>
      <w:r w:rsidRPr="00FB61D1">
        <w:rPr>
          <w:sz w:val="28"/>
          <w:szCs w:val="28"/>
        </w:rPr>
        <w:t xml:space="preserve"> </w:t>
      </w:r>
      <w:r w:rsidR="00FF6D57" w:rsidRPr="00FB61D1">
        <w:rPr>
          <w:b/>
          <w:sz w:val="28"/>
          <w:szCs w:val="28"/>
        </w:rPr>
        <w:t xml:space="preserve">22.102.525.000 </w:t>
      </w:r>
      <w:r w:rsidRPr="00FB61D1">
        <w:rPr>
          <w:sz w:val="28"/>
          <w:szCs w:val="28"/>
        </w:rPr>
        <w:t>đồng</w:t>
      </w:r>
      <w:r w:rsidR="00FF6D57" w:rsidRPr="00FB61D1">
        <w:rPr>
          <w:sz w:val="28"/>
          <w:szCs w:val="28"/>
        </w:rPr>
        <w:t>.</w:t>
      </w:r>
      <w:r w:rsidRPr="00FB61D1">
        <w:rPr>
          <w:sz w:val="28"/>
          <w:szCs w:val="28"/>
        </w:rPr>
        <w:t xml:space="preserve"> </w:t>
      </w:r>
    </w:p>
    <w:p w:rsidR="00FB61D1" w:rsidRDefault="00FF6D57" w:rsidP="00BC01A4">
      <w:pPr>
        <w:keepNext/>
        <w:spacing w:before="120" w:after="120"/>
        <w:ind w:firstLine="720"/>
        <w:jc w:val="both"/>
        <w:rPr>
          <w:iCs/>
        </w:rPr>
      </w:pPr>
      <w:r w:rsidRPr="00FB61D1">
        <w:rPr>
          <w:iCs/>
        </w:rPr>
        <w:t xml:space="preserve">Dự kiến </w:t>
      </w:r>
      <w:r w:rsidR="005502F4" w:rsidRPr="00FB61D1">
        <w:rPr>
          <w:iCs/>
        </w:rPr>
        <w:t xml:space="preserve">tỷ </w:t>
      </w:r>
      <w:r w:rsidR="008670A2" w:rsidRPr="00FB61D1">
        <w:rPr>
          <w:iCs/>
        </w:rPr>
        <w:t xml:space="preserve">lệ để lại </w:t>
      </w:r>
      <w:r w:rsidR="00610849" w:rsidRPr="00FB61D1">
        <w:rPr>
          <w:iCs/>
        </w:rPr>
        <w:t xml:space="preserve">chi hoạt động thường xuyên </w:t>
      </w:r>
      <w:r w:rsidR="008670A2" w:rsidRPr="00FB61D1">
        <w:rPr>
          <w:iCs/>
        </w:rPr>
        <w:t>trên tổng số phí thu được</w:t>
      </w:r>
      <w:r w:rsidR="002D3B0B" w:rsidRPr="00FB61D1">
        <w:rPr>
          <w:iCs/>
        </w:rPr>
        <w:t xml:space="preserve"> giai đoạn 2025 </w:t>
      </w:r>
      <w:r w:rsidR="00797A73" w:rsidRPr="00FB61D1">
        <w:rPr>
          <w:iCs/>
        </w:rPr>
        <w:t>-</w:t>
      </w:r>
      <w:r w:rsidR="002D3B0B" w:rsidRPr="00FB61D1">
        <w:rPr>
          <w:iCs/>
        </w:rPr>
        <w:t xml:space="preserve"> 2029</w:t>
      </w:r>
      <w:r w:rsidRPr="00FB61D1">
        <w:rPr>
          <w:iCs/>
        </w:rPr>
        <w:t xml:space="preserve">: </w:t>
      </w:r>
      <w:r w:rsidR="00610849" w:rsidRPr="00FB61D1">
        <w:rPr>
          <w:b/>
          <w:iCs/>
        </w:rPr>
        <w:t xml:space="preserve">25.118.414.536 </w:t>
      </w:r>
      <w:r w:rsidRPr="00FB61D1">
        <w:rPr>
          <w:iCs/>
        </w:rPr>
        <w:t>đồng (</w:t>
      </w:r>
      <w:r w:rsidRPr="00FB61D1">
        <w:rPr>
          <w:i/>
          <w:iCs/>
        </w:rPr>
        <w:t xml:space="preserve">tương đương </w:t>
      </w:r>
      <w:r w:rsidR="00610849" w:rsidRPr="00FB61D1">
        <w:rPr>
          <w:i/>
          <w:iCs/>
        </w:rPr>
        <w:t>7</w:t>
      </w:r>
      <w:r w:rsidRPr="00FB61D1">
        <w:rPr>
          <w:b/>
          <w:i/>
          <w:iCs/>
        </w:rPr>
        <w:t>%</w:t>
      </w:r>
      <w:r w:rsidRPr="00FB61D1">
        <w:rPr>
          <w:i/>
          <w:iCs/>
        </w:rPr>
        <w:t xml:space="preserve"> dự kiến tổng thu</w:t>
      </w:r>
      <w:r w:rsidRPr="00FB61D1">
        <w:rPr>
          <w:iCs/>
        </w:rPr>
        <w:t>).</w:t>
      </w:r>
      <w:r w:rsidR="005502F4" w:rsidRPr="00FB61D1">
        <w:rPr>
          <w:iCs/>
        </w:rPr>
        <w:t xml:space="preserve"> </w:t>
      </w:r>
    </w:p>
    <w:p w:rsidR="003D1DE6" w:rsidRDefault="00FB61D1" w:rsidP="003D1DE6">
      <w:pPr>
        <w:keepNext/>
        <w:spacing w:before="120" w:after="120"/>
        <w:jc w:val="center"/>
        <w:rPr>
          <w:i/>
          <w:iCs/>
        </w:rPr>
      </w:pPr>
      <w:r w:rsidRPr="008F141F">
        <w:rPr>
          <w:i/>
          <w:iCs/>
        </w:rPr>
        <w:t>(đính kèm tại Phụ lục 4 dự toán mức thu)</w:t>
      </w:r>
    </w:p>
    <w:p w:rsidR="00FB61D1" w:rsidRPr="00FB61D1" w:rsidRDefault="00FB61D1" w:rsidP="003D1DE6">
      <w:pPr>
        <w:spacing w:before="120" w:after="120"/>
        <w:ind w:firstLine="720"/>
        <w:jc w:val="both"/>
        <w:rPr>
          <w:b/>
          <w:iCs/>
          <w:color w:val="FF0000"/>
        </w:rPr>
      </w:pPr>
      <w:r w:rsidRPr="00FB61D1">
        <w:rPr>
          <w:b/>
          <w:iCs/>
          <w:color w:val="FF0000"/>
        </w:rPr>
        <w:t xml:space="preserve">3.2 </w:t>
      </w:r>
      <w:r w:rsidR="00610849" w:rsidRPr="00FB61D1">
        <w:rPr>
          <w:b/>
          <w:iCs/>
          <w:color w:val="FF0000"/>
        </w:rPr>
        <w:t xml:space="preserve">Tỷ lệ trích để lại tại các cửa khẩu </w:t>
      </w:r>
      <w:r w:rsidRPr="00FB61D1">
        <w:rPr>
          <w:b/>
          <w:iCs/>
          <w:color w:val="FF0000"/>
        </w:rPr>
        <w:t>chính ngoài Khu kinh tế</w:t>
      </w:r>
    </w:p>
    <w:p w:rsidR="003D1DE6" w:rsidRDefault="003D1DE6" w:rsidP="00FB61D1">
      <w:pPr>
        <w:spacing w:before="120" w:after="120"/>
        <w:ind w:firstLine="720"/>
        <w:jc w:val="both"/>
        <w:rPr>
          <w:color w:val="FF0000"/>
        </w:rPr>
      </w:pPr>
      <w:r>
        <w:rPr>
          <w:color w:val="FF0000"/>
        </w:rPr>
        <w:lastRenderedPageBreak/>
        <w:t xml:space="preserve">- </w:t>
      </w:r>
      <w:r w:rsidR="00FB61D1" w:rsidRPr="00D04DF7">
        <w:rPr>
          <w:color w:val="FF0000"/>
        </w:rPr>
        <w:t xml:space="preserve">Căn cứ tình hình </w:t>
      </w:r>
      <w:r w:rsidR="00FB61D1">
        <w:rPr>
          <w:color w:val="FF0000"/>
        </w:rPr>
        <w:t xml:space="preserve">thực tế </w:t>
      </w:r>
      <w:r w:rsidR="00FB61D1" w:rsidRPr="00D04DF7">
        <w:rPr>
          <w:color w:val="FF0000"/>
        </w:rPr>
        <w:t>của chính quyền địa phương (cấp xã sau khi sáp nhập)</w:t>
      </w:r>
      <w:r w:rsidR="008D6FEB">
        <w:rPr>
          <w:color w:val="FF0000"/>
        </w:rPr>
        <w:t>,</w:t>
      </w:r>
      <w:r w:rsidR="00FB61D1" w:rsidRPr="00D04DF7">
        <w:rPr>
          <w:color w:val="FF0000"/>
        </w:rPr>
        <w:t xml:space="preserve"> </w:t>
      </w:r>
      <w:r>
        <w:rPr>
          <w:color w:val="FF0000"/>
        </w:rPr>
        <w:t xml:space="preserve">đơn vị thu </w:t>
      </w:r>
      <w:r w:rsidRPr="003D1DE6">
        <w:rPr>
          <w:color w:val="FF0000"/>
        </w:rPr>
        <w:t>lập dự t</w:t>
      </w:r>
      <w:r>
        <w:rPr>
          <w:color w:val="FF0000"/>
        </w:rPr>
        <w:t>oán và đề xuất mức trích để lại, đồng thời trình cơ quan có thẩm xem xét, quyết định.</w:t>
      </w:r>
    </w:p>
    <w:p w:rsidR="00FB61D1" w:rsidRPr="00D04DF7" w:rsidRDefault="003D1DE6" w:rsidP="00FB61D1">
      <w:pPr>
        <w:spacing w:before="120" w:after="120"/>
        <w:ind w:firstLine="720"/>
        <w:jc w:val="both"/>
        <w:rPr>
          <w:color w:val="FF0000"/>
        </w:rPr>
      </w:pPr>
      <w:r>
        <w:rPr>
          <w:color w:val="FF0000"/>
        </w:rPr>
        <w:t xml:space="preserve">- Giao </w:t>
      </w:r>
      <w:r w:rsidR="00FB61D1" w:rsidRPr="00D04DF7">
        <w:rPr>
          <w:color w:val="FF0000"/>
        </w:rPr>
        <w:t xml:space="preserve">Ủy </w:t>
      </w:r>
      <w:r w:rsidR="00E206F0" w:rsidRPr="00D04DF7">
        <w:rPr>
          <w:color w:val="FF0000"/>
        </w:rPr>
        <w:t xml:space="preserve">ban </w:t>
      </w:r>
      <w:r w:rsidR="00FB61D1" w:rsidRPr="00D04DF7">
        <w:rPr>
          <w:color w:val="FF0000"/>
        </w:rPr>
        <w:t>nh</w:t>
      </w:r>
      <w:r w:rsidR="00FB61D1">
        <w:rPr>
          <w:color w:val="FF0000"/>
        </w:rPr>
        <w:t>ân dân tỉnh hướng dẫn th</w:t>
      </w:r>
      <w:r>
        <w:rPr>
          <w:color w:val="FF0000"/>
        </w:rPr>
        <w:t>ực hiện nội dung này.</w:t>
      </w:r>
    </w:p>
    <w:p w:rsidR="00710C0B" w:rsidRPr="008F141F" w:rsidRDefault="00DB30A1" w:rsidP="00DB30A1">
      <w:pPr>
        <w:keepNext/>
        <w:ind w:firstLine="720"/>
        <w:rPr>
          <w:i/>
          <w:iCs/>
        </w:rPr>
      </w:pPr>
      <w:r w:rsidRPr="008F141F">
        <w:rPr>
          <w:b/>
          <w:bCs/>
        </w:rPr>
        <w:t>IV. QUẢN LÝ, SỬ DỤNG NGUỒN THU</w:t>
      </w:r>
    </w:p>
    <w:p w:rsidR="00710C0B" w:rsidRPr="008F141F" w:rsidRDefault="00710C0B" w:rsidP="00EB1127">
      <w:pPr>
        <w:spacing w:beforeLines="60" w:before="144" w:afterLines="60" w:after="144"/>
        <w:ind w:firstLine="720"/>
        <w:jc w:val="both"/>
        <w:rPr>
          <w:bCs/>
        </w:rPr>
      </w:pPr>
      <w:r w:rsidRPr="008F141F">
        <w:rPr>
          <w:bCs/>
        </w:rPr>
        <w:t xml:space="preserve">- Số phí sử dụng công trình kết cấu hạ tầng thu được tại </w:t>
      </w:r>
      <w:r w:rsidR="008E33EB" w:rsidRPr="008F141F">
        <w:rPr>
          <w:bCs/>
          <w:lang w:val="vi-VN"/>
        </w:rPr>
        <w:t>cửa khẩu quốc tế, cửa khẩu chính</w:t>
      </w:r>
      <w:r w:rsidR="008E33EB" w:rsidRPr="008F141F">
        <w:rPr>
          <w:bCs/>
        </w:rPr>
        <w:t xml:space="preserve"> </w:t>
      </w:r>
      <w:r w:rsidRPr="008F141F">
        <w:rPr>
          <w:bCs/>
        </w:rPr>
        <w:t xml:space="preserve">sau khi </w:t>
      </w:r>
      <w:r w:rsidR="00961F05" w:rsidRPr="008F141F">
        <w:rPr>
          <w:bCs/>
        </w:rPr>
        <w:t>trích</w:t>
      </w:r>
      <w:r w:rsidRPr="008F141F">
        <w:rPr>
          <w:bCs/>
        </w:rPr>
        <w:t xml:space="preserve"> lại cho hoạt động thu phí theo quy định, số còn lại nộp ngân sách nhà nước và điều tiết 100% </w:t>
      </w:r>
      <w:r w:rsidR="00E4224A" w:rsidRPr="008F141F">
        <w:rPr>
          <w:bCs/>
        </w:rPr>
        <w:t>vào</w:t>
      </w:r>
      <w:r w:rsidRPr="008F141F">
        <w:rPr>
          <w:bCs/>
        </w:rPr>
        <w:t xml:space="preserve"> ngân sách tỉnh.</w:t>
      </w:r>
    </w:p>
    <w:p w:rsidR="00710C0B" w:rsidRPr="008F141F" w:rsidRDefault="00710C0B" w:rsidP="00EB1127">
      <w:pPr>
        <w:spacing w:beforeLines="60" w:before="144" w:afterLines="60" w:after="144"/>
        <w:ind w:firstLine="720"/>
        <w:jc w:val="both"/>
        <w:rPr>
          <w:bCs/>
        </w:rPr>
      </w:pPr>
      <w:r w:rsidRPr="008F141F">
        <w:rPr>
          <w:bCs/>
        </w:rPr>
        <w:t>- Số phí sử dụng công trình kết cấu hạ tầng thu được nộp vào ngân sách và được ưu tiên dùng để đầu tư duy tu, sửa chữa, đầu tư mới các công trình tại các cửa khẩu; Đầu tư các công trình quan trọng khác của địa phương trực tiếp hoặc gián tiếp thúc đẩy phát triển kinh tế xã hội khu vực cửa khẩu.</w:t>
      </w:r>
    </w:p>
    <w:p w:rsidR="00210A4D" w:rsidRPr="008F141F" w:rsidRDefault="00210A4D" w:rsidP="00210A4D">
      <w:pPr>
        <w:spacing w:beforeLines="30" w:before="72" w:afterLines="30" w:after="72"/>
        <w:ind w:left="3600" w:firstLine="720"/>
        <w:rPr>
          <w:b/>
          <w:bCs/>
        </w:rPr>
      </w:pPr>
      <w:r w:rsidRPr="008F141F">
        <w:rPr>
          <w:b/>
          <w:bCs/>
        </w:rPr>
        <w:t xml:space="preserve">PHẦN </w:t>
      </w:r>
      <w:r w:rsidR="006D7BA5" w:rsidRPr="008F141F">
        <w:rPr>
          <w:b/>
          <w:bCs/>
        </w:rPr>
        <w:t>I</w:t>
      </w:r>
      <w:r w:rsidRPr="008F141F">
        <w:rPr>
          <w:b/>
          <w:bCs/>
        </w:rPr>
        <w:t>V</w:t>
      </w:r>
    </w:p>
    <w:p w:rsidR="00210A4D" w:rsidRPr="008F141F" w:rsidRDefault="00A45728" w:rsidP="00941508">
      <w:pPr>
        <w:spacing w:beforeLines="30" w:before="72" w:afterLines="30" w:after="72"/>
        <w:jc w:val="center"/>
        <w:rPr>
          <w:b/>
          <w:bCs/>
        </w:rPr>
      </w:pPr>
      <w:r w:rsidRPr="008F141F">
        <w:rPr>
          <w:b/>
          <w:bCs/>
        </w:rPr>
        <w:t>TỔ CHỨC THỰC HIỆN</w:t>
      </w:r>
    </w:p>
    <w:p w:rsidR="00210A4D" w:rsidRPr="008F141F" w:rsidRDefault="00210A4D" w:rsidP="00210A4D">
      <w:pPr>
        <w:spacing w:beforeLines="60" w:before="144" w:afterLines="60" w:after="144"/>
        <w:ind w:firstLine="720"/>
        <w:jc w:val="both"/>
        <w:rPr>
          <w:spacing w:val="-2"/>
          <w:lang w:val="nl-NL"/>
        </w:rPr>
      </w:pPr>
      <w:r w:rsidRPr="008F141F">
        <w:rPr>
          <w:spacing w:val="-2"/>
          <w:lang w:val="nl-NL"/>
        </w:rPr>
        <w:t xml:space="preserve">Sau khi Đề án được HĐND tỉnh thông qua, UBND tỉnh sẽ chỉ đạo các đơn vị có liên quan tổ chức triển khai thực hiện Nghị quyết đảm bảo đúng quy định. Trong quá trình thực hiện, nếu mức thu không còn phù hợp với thực tế hoặc cơ sở pháp lý có liên quan đến </w:t>
      </w:r>
      <w:r w:rsidRPr="008F141F">
        <w:rPr>
          <w:lang w:val="nl-NL"/>
        </w:rPr>
        <w:t>thu</w:t>
      </w:r>
      <w:r w:rsidRPr="008F141F">
        <w:rPr>
          <w:shd w:val="clear" w:color="auto" w:fill="FFFFFF"/>
          <w:lang w:val="nl-NL"/>
        </w:rPr>
        <w:t xml:space="preserve"> phí sử dụng công trình kết cấu hạ tầng qua lại cửa khẩu</w:t>
      </w:r>
      <w:r w:rsidRPr="008F141F">
        <w:rPr>
          <w:spacing w:val="-2"/>
          <w:lang w:val="nl-NL"/>
        </w:rPr>
        <w:t xml:space="preserve"> có sự thay đổi, UBND tỉnh sẽ trình HĐND tỉnh xem xét, điều chỉnh cho phù hợp.</w:t>
      </w:r>
    </w:p>
    <w:p w:rsidR="00210A4D" w:rsidRPr="008F141F" w:rsidRDefault="00210A4D" w:rsidP="00D46DB5">
      <w:pPr>
        <w:ind w:firstLine="720"/>
        <w:jc w:val="both"/>
      </w:pPr>
      <w:r w:rsidRPr="008F141F">
        <w:rPr>
          <w:lang w:val="nl-NL"/>
        </w:rPr>
        <w:t xml:space="preserve">Trên đây là </w:t>
      </w:r>
      <w:r w:rsidR="00E4224A" w:rsidRPr="008F141F">
        <w:rPr>
          <w:lang w:val="nl-NL"/>
        </w:rPr>
        <w:t>Đề án xây dựng Nghị quyết Quy định mức thu, chế độ thu, nộp, quản lý và sử dụng phí sử dụng công trình kết cấu hạ tầng đối với phương tiện ra, vào cửa khẩu chính, cửa khẩu quốc tế trên địa bàn tỉnh Tây Ninh (</w:t>
      </w:r>
      <w:r w:rsidR="00E4224A" w:rsidRPr="008F141F">
        <w:rPr>
          <w:i/>
          <w:lang w:val="nl-NL"/>
        </w:rPr>
        <w:t>Nghị quyết thay thế Nghị quyết số 05/2021/NQ-HĐND ngày 01 tháng 7 năm 2021 của Hội đồng nhân dân tỉnh Tây Ninh</w:t>
      </w:r>
      <w:r w:rsidR="00E4224A" w:rsidRPr="008F141F">
        <w:rPr>
          <w:lang w:val="nl-NL"/>
        </w:rPr>
        <w:t>)</w:t>
      </w:r>
      <w:r w:rsidR="00D46DB5" w:rsidRPr="008F141F">
        <w:t xml:space="preserve"> </w:t>
      </w:r>
      <w:r w:rsidRPr="008F141F">
        <w:rPr>
          <w:lang w:val="nl-NL"/>
        </w:rPr>
        <w:t xml:space="preserve">của Ban Quản lý Khu kinh tế tỉnh </w:t>
      </w:r>
      <w:r w:rsidR="00D46DB5" w:rsidRPr="008F141F">
        <w:rPr>
          <w:lang w:val="nl-NL"/>
        </w:rPr>
        <w:t xml:space="preserve">Tây Ninh </w:t>
      </w:r>
      <w:r w:rsidR="00A33158" w:rsidRPr="008F141F">
        <w:rPr>
          <w:lang w:val="nl-NL"/>
        </w:rPr>
        <w:t xml:space="preserve">kính </w:t>
      </w:r>
      <w:r w:rsidR="000717DE" w:rsidRPr="008F141F">
        <w:rPr>
          <w:lang w:val="nl-NL"/>
        </w:rPr>
        <w:t>trình</w:t>
      </w:r>
      <w:r w:rsidRPr="008F141F">
        <w:rPr>
          <w:lang w:val="nl-NL"/>
        </w:rPr>
        <w:t xml:space="preserve"> UBND tỉnh xem xét trình Hội đồng nhân dân tỉnh thông qua./.</w:t>
      </w:r>
      <w:r w:rsidRPr="008F141F">
        <w:rPr>
          <w:lang w:val="nl-NL"/>
        </w:rPr>
        <w:tab/>
      </w:r>
    </w:p>
    <w:p w:rsidR="00210A4D" w:rsidRPr="008F141F" w:rsidRDefault="00210A4D" w:rsidP="00210A4D">
      <w:pPr>
        <w:spacing w:beforeLines="50" w:before="120" w:afterLines="50" w:after="120"/>
        <w:jc w:val="both"/>
        <w:rPr>
          <w:lang w:val="nl-NL"/>
        </w:rPr>
      </w:pPr>
      <w:r w:rsidRPr="008F141F">
        <w:rPr>
          <w:lang w:val="nl-NL"/>
        </w:rPr>
        <w:tab/>
      </w:r>
      <w:r w:rsidRPr="008F141F">
        <w:rPr>
          <w:lang w:val="nl-NL"/>
        </w:rPr>
        <w:tab/>
      </w:r>
    </w:p>
    <w:tbl>
      <w:tblPr>
        <w:tblW w:w="0" w:type="auto"/>
        <w:tblLook w:val="04A0" w:firstRow="1" w:lastRow="0" w:firstColumn="1" w:lastColumn="0" w:noHBand="0" w:noVBand="1"/>
      </w:tblPr>
      <w:tblGrid>
        <w:gridCol w:w="4803"/>
        <w:gridCol w:w="4818"/>
      </w:tblGrid>
      <w:tr w:rsidR="00210A4D" w:rsidRPr="00210A4D" w:rsidTr="00EF4DCC">
        <w:tc>
          <w:tcPr>
            <w:tcW w:w="4859" w:type="dxa"/>
            <w:shd w:val="clear" w:color="auto" w:fill="auto"/>
          </w:tcPr>
          <w:p w:rsidR="00210A4D" w:rsidRPr="008F141F" w:rsidRDefault="00210A4D" w:rsidP="00EF4DCC">
            <w:pPr>
              <w:spacing w:beforeLines="10" w:before="24" w:afterLines="10" w:after="24"/>
              <w:jc w:val="both"/>
              <w:rPr>
                <w:lang w:val="nl-NL"/>
              </w:rPr>
            </w:pPr>
          </w:p>
        </w:tc>
        <w:tc>
          <w:tcPr>
            <w:tcW w:w="4859" w:type="dxa"/>
            <w:shd w:val="clear" w:color="auto" w:fill="auto"/>
          </w:tcPr>
          <w:p w:rsidR="00210A4D" w:rsidRPr="00210A4D" w:rsidRDefault="00210A4D" w:rsidP="00EF4DCC">
            <w:pPr>
              <w:spacing w:beforeLines="10" w:before="24" w:afterLines="10" w:after="24"/>
              <w:jc w:val="center"/>
            </w:pPr>
            <w:r w:rsidRPr="008F141F">
              <w:rPr>
                <w:b/>
              </w:rPr>
              <w:t>TRƯỞNG BAN</w:t>
            </w:r>
          </w:p>
        </w:tc>
      </w:tr>
    </w:tbl>
    <w:p w:rsidR="00317B6C" w:rsidRDefault="00317B6C" w:rsidP="007D3FFD">
      <w:pPr>
        <w:spacing w:before="120" w:after="120"/>
        <w:ind w:firstLine="720"/>
        <w:jc w:val="both"/>
      </w:pPr>
    </w:p>
    <w:sectPr w:rsidR="00317B6C" w:rsidSect="00FA6538">
      <w:headerReference w:type="default" r:id="rId8"/>
      <w:pgSz w:w="12240" w:h="15840"/>
      <w:pgMar w:top="0" w:right="1134" w:bottom="81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0A2" w:rsidRDefault="00D300A2" w:rsidP="00326FF2">
      <w:r>
        <w:separator/>
      </w:r>
    </w:p>
  </w:endnote>
  <w:endnote w:type="continuationSeparator" w:id="0">
    <w:p w:rsidR="00D300A2" w:rsidRDefault="00D300A2" w:rsidP="0032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ogue">
    <w:altName w:val="Calibri"/>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0A2" w:rsidRDefault="00D300A2" w:rsidP="00326FF2">
      <w:r>
        <w:separator/>
      </w:r>
    </w:p>
  </w:footnote>
  <w:footnote w:type="continuationSeparator" w:id="0">
    <w:p w:rsidR="00D300A2" w:rsidRDefault="00D300A2" w:rsidP="00326FF2">
      <w:r>
        <w:continuationSeparator/>
      </w:r>
    </w:p>
  </w:footnote>
  <w:footnote w:id="1">
    <w:p w:rsidR="00E078AB" w:rsidRPr="00B004F9" w:rsidRDefault="00E078AB" w:rsidP="00E078AB">
      <w:pPr>
        <w:pStyle w:val="FootnoteText"/>
        <w:jc w:val="both"/>
        <w:rPr>
          <w:lang w:val="en-GB"/>
        </w:rPr>
      </w:pPr>
      <w:r>
        <w:rPr>
          <w:rStyle w:val="FootnoteReference"/>
        </w:rPr>
        <w:footnoteRef/>
      </w:r>
      <w:r>
        <w:t xml:space="preserve"> Riêng năm2024: cửa khẩu</w:t>
      </w:r>
      <w:r w:rsidRPr="00B004F9">
        <w:t xml:space="preserve"> Mộc Bài ghi nhận </w:t>
      </w:r>
      <w:r w:rsidRPr="00AF7467">
        <w:rPr>
          <w:b/>
        </w:rPr>
        <w:t>119</w:t>
      </w:r>
      <w:r w:rsidR="00C92D62">
        <w:rPr>
          <w:b/>
        </w:rPr>
        <w:t>.</w:t>
      </w:r>
      <w:r w:rsidRPr="00AF7467">
        <w:rPr>
          <w:b/>
        </w:rPr>
        <w:t>407</w:t>
      </w:r>
      <w:r w:rsidRPr="00B004F9">
        <w:t xml:space="preserve"> lượt xe quá cảnh (</w:t>
      </w:r>
      <w:r w:rsidRPr="00AF7467">
        <w:rPr>
          <w:b/>
        </w:rPr>
        <w:t>48,7%</w:t>
      </w:r>
      <w:r w:rsidRPr="00B004F9">
        <w:t xml:space="preserve"> tổng lượt xe), đóng góp </w:t>
      </w:r>
      <w:r w:rsidRPr="00C92D62">
        <w:rPr>
          <w:b/>
        </w:rPr>
        <w:t>283</w:t>
      </w:r>
      <w:r w:rsidR="00C92D62" w:rsidRPr="00C92D62">
        <w:rPr>
          <w:b/>
        </w:rPr>
        <w:t>.</w:t>
      </w:r>
      <w:r w:rsidRPr="00C92D62">
        <w:rPr>
          <w:b/>
        </w:rPr>
        <w:t>350</w:t>
      </w:r>
      <w:r w:rsidRPr="00B004F9">
        <w:t xml:space="preserve"> triệu đồng (</w:t>
      </w:r>
      <w:r w:rsidRPr="00AF7467">
        <w:rPr>
          <w:b/>
        </w:rPr>
        <w:t>88%</w:t>
      </w:r>
      <w:r w:rsidRPr="00B004F9">
        <w:t xml:space="preserve"> tổng thu)</w:t>
      </w:r>
      <w:r>
        <w:t>.</w:t>
      </w:r>
    </w:p>
  </w:footnote>
  <w:footnote w:id="2">
    <w:p w:rsidR="00E078AB" w:rsidRPr="00B004F9" w:rsidRDefault="00E078AB" w:rsidP="00E078AB">
      <w:pPr>
        <w:pStyle w:val="FootnoteText"/>
        <w:jc w:val="both"/>
        <w:rPr>
          <w:lang w:val="en-GB"/>
        </w:rPr>
      </w:pPr>
      <w:r w:rsidRPr="00B004F9">
        <w:rPr>
          <w:rStyle w:val="FootnoteReference"/>
        </w:rPr>
        <w:footnoteRef/>
      </w:r>
      <w:r w:rsidRPr="00B004F9">
        <w:t xml:space="preserve"> một số tuyến đường, công trình đã và đang sửa chữa hiện nay như ở cửa khẩu Mộc Bài gồm: đường 75A, ĐD4, ĐD8, Đ91, D923; cửa khẩu Xa Mát tuyến đường vào cửa khẩu (Barie số 1)…</w:t>
      </w:r>
    </w:p>
  </w:footnote>
  <w:footnote w:id="3">
    <w:p w:rsidR="00DA7BB9" w:rsidRDefault="00DA7BB9">
      <w:pPr>
        <w:pStyle w:val="FootnoteText"/>
        <w:rPr>
          <w:lang w:val="en-GB"/>
        </w:rPr>
      </w:pPr>
      <w:r>
        <w:rPr>
          <w:rStyle w:val="FootnoteReference"/>
        </w:rPr>
        <w:footnoteRef/>
      </w:r>
      <w:r>
        <w:t xml:space="preserve"> </w:t>
      </w:r>
      <w:r>
        <w:rPr>
          <w:lang w:val="en-GB"/>
        </w:rPr>
        <w:t xml:space="preserve">điểm b khoản 1 Điều 5 Thông tư số </w:t>
      </w:r>
      <w:r w:rsidRPr="003F4080">
        <w:rPr>
          <w:lang w:val="nl-NL"/>
        </w:rPr>
        <w:t xml:space="preserve">85/2019/TT-BTC ngày 29/11/2019 </w:t>
      </w:r>
      <w:r w:rsidR="0041380A">
        <w:rPr>
          <w:lang w:val="en-GB"/>
        </w:rPr>
        <w:t xml:space="preserve"> quy định:</w:t>
      </w:r>
    </w:p>
    <w:p w:rsidR="00DA7BB9" w:rsidRPr="00B92470" w:rsidRDefault="00DA7BB9" w:rsidP="00B92470">
      <w:pPr>
        <w:pStyle w:val="FootnoteText"/>
        <w:ind w:firstLine="720"/>
        <w:jc w:val="both"/>
        <w:rPr>
          <w:i/>
        </w:rPr>
      </w:pPr>
      <w:r>
        <w:rPr>
          <w:lang w:val="en-GB"/>
        </w:rPr>
        <w:t>“</w:t>
      </w:r>
      <w:r w:rsidRPr="00B92470">
        <w:rPr>
          <w:i/>
          <w:lang w:val="nl-NL"/>
        </w:rPr>
        <w:t>C</w:t>
      </w:r>
      <w:r w:rsidRPr="00B92470">
        <w:rPr>
          <w:i/>
        </w:rPr>
        <w:t>ăn cứ điều kiện kinh tế - xã hội tại địa phương nơi phát sinh hoạt động cung cấp dịch vụ, thu phí, lệ phí, Hội đồng nhân dân cấp tỉnh quy định mức thu phí, lệ phí phù hợp</w:t>
      </w:r>
    </w:p>
    <w:p w:rsidR="00DA7BB9" w:rsidRPr="00B92470" w:rsidRDefault="00DA7BB9" w:rsidP="00B92470">
      <w:pPr>
        <w:pStyle w:val="FootnoteText"/>
        <w:jc w:val="both"/>
        <w:rPr>
          <w:i/>
        </w:rPr>
      </w:pPr>
      <w:r w:rsidRPr="00B92470">
        <w:rPr>
          <w:i/>
        </w:rPr>
        <w:t>…</w:t>
      </w:r>
    </w:p>
    <w:p w:rsidR="00DA7BB9" w:rsidRPr="00B92470" w:rsidRDefault="00DA7BB9" w:rsidP="00B92470">
      <w:pPr>
        <w:pStyle w:val="FootnoteText"/>
        <w:ind w:firstLine="720"/>
        <w:jc w:val="both"/>
        <w:rPr>
          <w:lang w:val="en-GB"/>
        </w:rPr>
      </w:pPr>
      <w:r w:rsidRPr="00B92470">
        <w:rPr>
          <w:i/>
          <w:lang w:val="en-GB"/>
        </w:rPr>
        <w:t>b) Phí sử dụng công trình kết cấu hạ tầng, công trình dịch vụ, tiện ích công cộng trong khu vực cửa khẩu (bao gồm: khu vực cửa khẩu biên giới đất liền và khu vực cửa khẩu cảng biển) là khoản thu đối với các đối tượng sử dụng công trình kết cấu hạ tầng, công trình dịch vụ, tiện ích công cộng trong khu vực cửa khẩu để bù đắp chi phí duy tu, bảo dưỡng, duy trì điều kiện phục vụ hoặc tái tạo các công trình hạ tầng kỹ thuật - xã hội, công trình dịch vụ và tiện ích công cộng trong khu vực cửa khẩu</w:t>
      </w:r>
      <w:r w:rsidRPr="00B92470">
        <w:rPr>
          <w:lang w:val="en-GB"/>
        </w:rPr>
        <w:t>.</w:t>
      </w:r>
      <w:r>
        <w:rPr>
          <w:lang w:val="en-GB"/>
        </w:rPr>
        <w:t>”</w:t>
      </w:r>
    </w:p>
  </w:footnote>
  <w:footnote w:id="4">
    <w:p w:rsidR="00DA7BB9" w:rsidRPr="007417C7" w:rsidRDefault="00DA7BB9" w:rsidP="000448E4">
      <w:pPr>
        <w:pStyle w:val="FootnoteText"/>
        <w:jc w:val="both"/>
        <w:rPr>
          <w:lang w:val="en-GB"/>
        </w:rPr>
      </w:pPr>
      <w:r>
        <w:rPr>
          <w:rStyle w:val="FootnoteReference"/>
        </w:rPr>
        <w:footnoteRef/>
      </w:r>
      <w:r>
        <w:t xml:space="preserve"> tỷ lệ để lại theo </w:t>
      </w:r>
      <w:r>
        <w:rPr>
          <w:bCs/>
        </w:rPr>
        <w:t>Nghị quyết số 05/2021/NQ-</w:t>
      </w:r>
      <w:r w:rsidRPr="00E73D0D">
        <w:rPr>
          <w:bCs/>
        </w:rPr>
        <w:t>HĐND</w:t>
      </w:r>
      <w:r>
        <w:rPr>
          <w:lang w:val="nl-NL"/>
        </w:rPr>
        <w:t xml:space="preserve"> cho đơn vị thu phí: Mộc Bài 3%, Xa Mát 11%, Chàng Riệc 09%, Tân Nam 30%; đơn vị thu: Ban quản lý cửa khẩu quốc tế Tây Ninh (</w:t>
      </w:r>
      <w:r w:rsidRPr="000448E4">
        <w:rPr>
          <w:i/>
          <w:lang w:val="nl-NL"/>
        </w:rPr>
        <w:t>nay là Trung tâm quản lý cửa khẩu Tây Ninh</w:t>
      </w:r>
      <w:r>
        <w:rPr>
          <w:lang w:val="nl-NL"/>
        </w:rPr>
        <w:t>) thu phí tại các cửa khẩu quốc tế: Mộc Bài, Xa Mát, Tân Nam;</w:t>
      </w:r>
      <w:r w:rsidRPr="00996EE3">
        <w:rPr>
          <w:lang w:val="nl-NL"/>
        </w:rPr>
        <w:t xml:space="preserve"> Ban quản lý Chợ và các bến bãi </w:t>
      </w:r>
      <w:r>
        <w:rPr>
          <w:lang w:val="nl-NL"/>
        </w:rPr>
        <w:t>huyện Tân Biên thu phí cửa khẩu chính Chàng Riệc.</w:t>
      </w:r>
    </w:p>
  </w:footnote>
  <w:footnote w:id="5">
    <w:p w:rsidR="00DA7BB9" w:rsidRPr="005C3DC1" w:rsidRDefault="00DA7BB9" w:rsidP="001008E5">
      <w:pPr>
        <w:pStyle w:val="FootnoteText"/>
        <w:jc w:val="both"/>
      </w:pPr>
      <w:r>
        <w:rPr>
          <w:rStyle w:val="FootnoteReference"/>
        </w:rPr>
        <w:footnoteRef/>
      </w:r>
      <w:r>
        <w:t xml:space="preserve"> Cùng là cửa khẩu chính, tuy nhiên hiện nay tại cửa khẩu</w:t>
      </w:r>
      <w:r w:rsidRPr="00DC2E24">
        <w:t xml:space="preserve"> Chàng Riệc </w:t>
      </w:r>
      <w:r>
        <w:t xml:space="preserve">đã tổ chức triển khai thu phí, trong khi tại cửa </w:t>
      </w:r>
      <w:r w:rsidRPr="00DC2E24">
        <w:t xml:space="preserve">Phước Tân, Kà Tum </w:t>
      </w:r>
      <w:r>
        <w:t>khẩu vẫn chưa chức việc thu phí qua hai cửa khẩu này.</w:t>
      </w:r>
    </w:p>
  </w:footnote>
  <w:footnote w:id="6">
    <w:p w:rsidR="00DA7BB9" w:rsidRPr="00DC2E24" w:rsidRDefault="00DA7BB9" w:rsidP="005C3DC1">
      <w:pPr>
        <w:pStyle w:val="FootnoteText"/>
        <w:jc w:val="both"/>
        <w:rPr>
          <w:lang w:val="en-GB"/>
        </w:rPr>
      </w:pPr>
      <w:r>
        <w:rPr>
          <w:rStyle w:val="FootnoteReference"/>
        </w:rPr>
        <w:footnoteRef/>
      </w:r>
      <w:r>
        <w:t xml:space="preserve"> Lưu lượng xe qua lại tại các cửa khẩu chính chưa tổ chức thu phí cao, Cụ thể: </w:t>
      </w:r>
      <w:r w:rsidRPr="001008E5">
        <w:t>(</w:t>
      </w:r>
      <w:r w:rsidRPr="001008E5">
        <w:rPr>
          <w:b/>
        </w:rPr>
        <w:t>1) Cửa khẩu Phước Tân</w:t>
      </w:r>
      <w:r>
        <w:t xml:space="preserve"> có tổng lượt xe qua lại hàng năm: </w:t>
      </w:r>
      <w:r w:rsidRPr="001008E5">
        <w:rPr>
          <w:b/>
        </w:rPr>
        <w:t>13.723</w:t>
      </w:r>
      <w:r>
        <w:t xml:space="preserve"> lượt (năm 2022), </w:t>
      </w:r>
      <w:r w:rsidRPr="001008E5">
        <w:rPr>
          <w:b/>
        </w:rPr>
        <w:t>15.109</w:t>
      </w:r>
      <w:r>
        <w:t xml:space="preserve"> lượt (năm 2023), </w:t>
      </w:r>
      <w:r w:rsidRPr="001008E5">
        <w:rPr>
          <w:b/>
        </w:rPr>
        <w:t>21.013</w:t>
      </w:r>
      <w:r>
        <w:t xml:space="preserve"> lượt (năm 2024); với kim ngạch xuất nhập khẩu 96.047.972,89 USD (năm 2022), 92.354.622,23 USD (năm 2023), 119.259.532,60 USD (năm 2024); </w:t>
      </w:r>
      <w:r w:rsidRPr="001008E5">
        <w:rPr>
          <w:b/>
        </w:rPr>
        <w:t>(2)</w:t>
      </w:r>
      <w:r>
        <w:t xml:space="preserve"> </w:t>
      </w:r>
      <w:r w:rsidRPr="001008E5">
        <w:rPr>
          <w:b/>
        </w:rPr>
        <w:t>Cửa khẩu KàTum</w:t>
      </w:r>
      <w:r>
        <w:t xml:space="preserve"> có tổng lượt xe qua lại hàng năm: </w:t>
      </w:r>
      <w:r w:rsidRPr="001008E5">
        <w:rPr>
          <w:b/>
        </w:rPr>
        <w:t>27.729</w:t>
      </w:r>
      <w:r>
        <w:t xml:space="preserve"> lượt (năm 2022), </w:t>
      </w:r>
      <w:r w:rsidRPr="001008E5">
        <w:rPr>
          <w:b/>
        </w:rPr>
        <w:t>25.069</w:t>
      </w:r>
      <w:r>
        <w:t xml:space="preserve"> lượt (năm 2023), </w:t>
      </w:r>
      <w:r w:rsidRPr="001008E5">
        <w:rPr>
          <w:b/>
        </w:rPr>
        <w:t>17.757</w:t>
      </w:r>
      <w:r>
        <w:t xml:space="preserve"> lượt (năm 2024); với kim ngạch xuất nhập khẩu 932.809.984,38 USD (năm 2022), 534.746.590,11 USD (năm 2023), 707.674.942,3 USD (năm 2024).</w:t>
      </w:r>
    </w:p>
    <w:p w:rsidR="00DA7BB9" w:rsidRPr="005C3DC1" w:rsidRDefault="00DA7BB9">
      <w:pPr>
        <w:pStyle w:val="FootnoteText"/>
        <w:rPr>
          <w:lang w:val="en-GB"/>
        </w:rPr>
      </w:pPr>
    </w:p>
  </w:footnote>
  <w:footnote w:id="7">
    <w:p w:rsidR="00BE0ADF" w:rsidRPr="00BE0ADF" w:rsidRDefault="00BE0ADF" w:rsidP="00BE0ADF">
      <w:pPr>
        <w:pStyle w:val="FootnoteText"/>
        <w:jc w:val="both"/>
        <w:rPr>
          <w:lang w:val="en-GB"/>
        </w:rPr>
      </w:pPr>
      <w:r>
        <w:rPr>
          <w:rStyle w:val="FootnoteReference"/>
        </w:rPr>
        <w:footnoteRef/>
      </w:r>
      <w:r>
        <w:t xml:space="preserve"> </w:t>
      </w:r>
      <w:r w:rsidRPr="00BE0ADF">
        <w:t>về sơ kết kết quả thực hiện Nghị quyết số 05/2021/NQ-HĐND ngày 01/7/2021 của HĐND tỉnh và Quyết định số 28/2021/QĐ-UBND ngày 13/12/2021 của UBND tỉnh</w:t>
      </w:r>
    </w:p>
  </w:footnote>
  <w:footnote w:id="8">
    <w:p w:rsidR="00DA7BB9" w:rsidRPr="00D92C9D" w:rsidRDefault="00DA7BB9" w:rsidP="001E566A">
      <w:pPr>
        <w:pStyle w:val="FootnoteText"/>
        <w:jc w:val="both"/>
        <w:rPr>
          <w:lang w:val="en-GB"/>
        </w:rPr>
      </w:pPr>
      <w:r>
        <w:rPr>
          <w:rStyle w:val="FootnoteReference"/>
        </w:rPr>
        <w:footnoteRef/>
      </w:r>
      <w:r>
        <w:t xml:space="preserve"> </w:t>
      </w:r>
      <w:r w:rsidRPr="00D92C9D">
        <w:rPr>
          <w:bCs/>
          <w:i/>
          <w:lang w:val="vi-VN"/>
        </w:rPr>
        <w:t>thành lập theo Quyết định số 1080/QĐ-UBND ngày 06/6/2024 và Quyết định số 1081QĐ-UBND ngày 6/6/2024 của UBND tỉnh</w:t>
      </w:r>
      <w:r w:rsidRPr="00D92C9D">
        <w:rPr>
          <w:i/>
          <w:lang w:val="vi-VN"/>
        </w:rPr>
        <w:t xml:space="preserve"> về việc tổ chức lại mô hình hoạt động của Ban quản lý cửa khẩu quốc tế Tây Ninh thành Trung tâm quản lý cửa khẩu Tây Ninh trực thuộc Ban Quản lý Khu kinh tế</w:t>
      </w:r>
      <w:r w:rsidRPr="00D92C9D">
        <w:rPr>
          <w:i/>
        </w:rPr>
        <w:t xml:space="preserve"> tỉnh</w:t>
      </w:r>
      <w:r w:rsidRPr="00D92C9D">
        <w:rPr>
          <w:i/>
          <w:lang w:val="vi-VN"/>
        </w:rPr>
        <w:t xml:space="preserve"> Tây Ninh</w:t>
      </w:r>
      <w:r>
        <w:rPr>
          <w:bCs/>
          <w:lang w:val="vi-VN"/>
        </w:rPr>
        <w:t>.</w:t>
      </w:r>
    </w:p>
  </w:footnote>
  <w:footnote w:id="9">
    <w:p w:rsidR="008C3B0A" w:rsidRPr="008C3B0A" w:rsidRDefault="008C3B0A" w:rsidP="008C3B0A">
      <w:pPr>
        <w:pStyle w:val="FootnoteText"/>
        <w:jc w:val="both"/>
        <w:rPr>
          <w:lang w:val="en-GB"/>
        </w:rPr>
      </w:pPr>
      <w:r>
        <w:rPr>
          <w:rStyle w:val="FootnoteReference"/>
        </w:rPr>
        <w:footnoteRef/>
      </w:r>
      <w:r>
        <w:t xml:space="preserve"> </w:t>
      </w:r>
      <w:r>
        <w:rPr>
          <w:lang w:val="en-GB"/>
        </w:rPr>
        <w:t>Hiện tại đang áp dụng tại Quyết định số 1357/QĐ-TCHQ ngày 18/05/2021 do Tổng Cục Hải Q</w:t>
      </w:r>
      <w:r w:rsidR="008F5B63">
        <w:rPr>
          <w:lang w:val="en-GB"/>
        </w:rPr>
        <w:t>uan ban hành b</w:t>
      </w:r>
      <w:r w:rsidR="008F5B63" w:rsidRPr="008F5B63">
        <w:rPr>
          <w:lang w:val="en-GB"/>
        </w:rPr>
        <w:t>ảng mã loại hình xuất khẩu, nhập khẩu và hướng dẫn sử dụng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85186"/>
      <w:docPartObj>
        <w:docPartGallery w:val="Page Numbers (Top of Page)"/>
        <w:docPartUnique/>
      </w:docPartObj>
    </w:sdtPr>
    <w:sdtEndPr>
      <w:rPr>
        <w:noProof/>
      </w:rPr>
    </w:sdtEndPr>
    <w:sdtContent>
      <w:p w:rsidR="00DA7BB9" w:rsidRDefault="00DA7BB9">
        <w:pPr>
          <w:pStyle w:val="Header"/>
          <w:jc w:val="center"/>
        </w:pPr>
      </w:p>
      <w:p w:rsidR="00DA7BB9" w:rsidRDefault="00DA7BB9">
        <w:pPr>
          <w:pStyle w:val="Header"/>
          <w:jc w:val="center"/>
        </w:pPr>
        <w:r>
          <w:fldChar w:fldCharType="begin"/>
        </w:r>
        <w:r>
          <w:instrText xml:space="preserve"> PAGE   \* MERGEFORMAT </w:instrText>
        </w:r>
        <w:r>
          <w:fldChar w:fldCharType="separate"/>
        </w:r>
        <w:r w:rsidR="00A27168">
          <w:rPr>
            <w:noProof/>
          </w:rPr>
          <w:t>12</w:t>
        </w:r>
        <w:r>
          <w:rPr>
            <w:noProof/>
          </w:rPr>
          <w:fldChar w:fldCharType="end"/>
        </w:r>
      </w:p>
    </w:sdtContent>
  </w:sdt>
  <w:p w:rsidR="00DA7BB9" w:rsidRDefault="00DA7B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983"/>
    <w:multiLevelType w:val="hybridMultilevel"/>
    <w:tmpl w:val="E28008D6"/>
    <w:lvl w:ilvl="0" w:tplc="C12425A0">
      <w:start w:val="1"/>
      <w:numFmt w:val="bullet"/>
      <w:lvlText w:val="-"/>
      <w:lvlJc w:val="left"/>
      <w:pPr>
        <w:ind w:left="1440" w:hanging="360"/>
      </w:pPr>
      <w:rPr>
        <w:rFonts w:ascii="Vogue" w:hAnsi="Vogu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2175D9"/>
    <w:multiLevelType w:val="hybridMultilevel"/>
    <w:tmpl w:val="97A043FE"/>
    <w:lvl w:ilvl="0" w:tplc="C12425A0">
      <w:start w:val="1"/>
      <w:numFmt w:val="bullet"/>
      <w:lvlText w:val="-"/>
      <w:lvlJc w:val="left"/>
      <w:pPr>
        <w:ind w:left="1080" w:hanging="360"/>
      </w:pPr>
      <w:rPr>
        <w:rFonts w:ascii="Vogue" w:hAnsi="Vog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E35739"/>
    <w:multiLevelType w:val="hybridMultilevel"/>
    <w:tmpl w:val="E6109398"/>
    <w:lvl w:ilvl="0" w:tplc="C12425A0">
      <w:start w:val="1"/>
      <w:numFmt w:val="bullet"/>
      <w:lvlText w:val="-"/>
      <w:lvlJc w:val="left"/>
      <w:pPr>
        <w:ind w:left="360" w:hanging="360"/>
      </w:pPr>
      <w:rPr>
        <w:rFonts w:ascii="Vogue" w:hAnsi="Vogu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43379"/>
    <w:multiLevelType w:val="multilevel"/>
    <w:tmpl w:val="BDE4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A03B8"/>
    <w:multiLevelType w:val="multilevel"/>
    <w:tmpl w:val="9A8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47C9B"/>
    <w:multiLevelType w:val="hybridMultilevel"/>
    <w:tmpl w:val="5824BBC2"/>
    <w:lvl w:ilvl="0" w:tplc="04090013">
      <w:start w:val="1"/>
      <w:numFmt w:val="upperRoman"/>
      <w:lvlText w:val="%1."/>
      <w:lvlJc w:val="righ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F246F31"/>
    <w:multiLevelType w:val="hybridMultilevel"/>
    <w:tmpl w:val="8CAAFE5C"/>
    <w:lvl w:ilvl="0" w:tplc="E45677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E0499B"/>
    <w:multiLevelType w:val="hybridMultilevel"/>
    <w:tmpl w:val="0EE230BC"/>
    <w:lvl w:ilvl="0" w:tplc="C12425A0">
      <w:start w:val="1"/>
      <w:numFmt w:val="bullet"/>
      <w:lvlText w:val="-"/>
      <w:lvlJc w:val="left"/>
      <w:pPr>
        <w:ind w:left="1070" w:hanging="360"/>
      </w:pPr>
      <w:rPr>
        <w:rFonts w:ascii="Vogue" w:hAnsi="Vogue"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EB40BF"/>
    <w:multiLevelType w:val="multilevel"/>
    <w:tmpl w:val="3F14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16698"/>
    <w:multiLevelType w:val="multilevel"/>
    <w:tmpl w:val="535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D5D6B"/>
    <w:multiLevelType w:val="hybridMultilevel"/>
    <w:tmpl w:val="2842C028"/>
    <w:lvl w:ilvl="0" w:tplc="C12425A0">
      <w:start w:val="1"/>
      <w:numFmt w:val="bullet"/>
      <w:lvlText w:val="-"/>
      <w:lvlJc w:val="left"/>
      <w:pPr>
        <w:ind w:left="720" w:hanging="360"/>
      </w:pPr>
      <w:rPr>
        <w:rFonts w:ascii="Vogue" w:hAnsi="Vog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64336"/>
    <w:multiLevelType w:val="multilevel"/>
    <w:tmpl w:val="44A6F368"/>
    <w:lvl w:ilvl="0">
      <w:start w:val="1"/>
      <w:numFmt w:val="bullet"/>
      <w:lvlText w:val="-"/>
      <w:lvlJc w:val="left"/>
      <w:pPr>
        <w:tabs>
          <w:tab w:val="num" w:pos="720"/>
        </w:tabs>
        <w:ind w:left="720" w:hanging="360"/>
      </w:pPr>
      <w:rPr>
        <w:rFonts w:ascii="Vogue" w:hAnsi="Vogu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846A7"/>
    <w:multiLevelType w:val="hybridMultilevel"/>
    <w:tmpl w:val="DBF4985E"/>
    <w:lvl w:ilvl="0" w:tplc="ECC4ABEA">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75D6A"/>
    <w:multiLevelType w:val="hybridMultilevel"/>
    <w:tmpl w:val="156C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E3689"/>
    <w:multiLevelType w:val="hybridMultilevel"/>
    <w:tmpl w:val="26723E18"/>
    <w:lvl w:ilvl="0" w:tplc="9DCE6F24">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ABD4E7D"/>
    <w:multiLevelType w:val="hybridMultilevel"/>
    <w:tmpl w:val="B0703864"/>
    <w:lvl w:ilvl="0" w:tplc="28B28FF2">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CD93DAD"/>
    <w:multiLevelType w:val="hybridMultilevel"/>
    <w:tmpl w:val="3446A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C4621"/>
    <w:multiLevelType w:val="multilevel"/>
    <w:tmpl w:val="3C1C6004"/>
    <w:lvl w:ilvl="0">
      <w:start w:val="363"/>
      <w:numFmt w:val="decimal"/>
      <w:lvlText w:val="%1"/>
      <w:lvlJc w:val="left"/>
      <w:pPr>
        <w:ind w:left="870" w:hanging="870"/>
      </w:pPr>
      <w:rPr>
        <w:rFonts w:hint="default"/>
      </w:rPr>
    </w:lvl>
    <w:lvl w:ilvl="1">
      <w:start w:val="25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172E8D"/>
    <w:multiLevelType w:val="hybridMultilevel"/>
    <w:tmpl w:val="3A98475A"/>
    <w:lvl w:ilvl="0" w:tplc="C2389A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3246CC"/>
    <w:multiLevelType w:val="hybridMultilevel"/>
    <w:tmpl w:val="A3403D24"/>
    <w:lvl w:ilvl="0" w:tplc="C12425A0">
      <w:start w:val="1"/>
      <w:numFmt w:val="bullet"/>
      <w:lvlText w:val="-"/>
      <w:lvlJc w:val="left"/>
      <w:pPr>
        <w:ind w:left="1211" w:hanging="360"/>
      </w:pPr>
      <w:rPr>
        <w:rFonts w:ascii="Vogue" w:hAnsi="Vogue"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9A10087"/>
    <w:multiLevelType w:val="hybridMultilevel"/>
    <w:tmpl w:val="8A5E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06D3A"/>
    <w:multiLevelType w:val="hybridMultilevel"/>
    <w:tmpl w:val="3CF6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
  </w:num>
  <w:num w:numId="5">
    <w:abstractNumId w:val="0"/>
  </w:num>
  <w:num w:numId="6">
    <w:abstractNumId w:val="3"/>
  </w:num>
  <w:num w:numId="7">
    <w:abstractNumId w:val="4"/>
  </w:num>
  <w:num w:numId="8">
    <w:abstractNumId w:val="10"/>
  </w:num>
  <w:num w:numId="9">
    <w:abstractNumId w:val="9"/>
  </w:num>
  <w:num w:numId="10">
    <w:abstractNumId w:val="8"/>
  </w:num>
  <w:num w:numId="11">
    <w:abstractNumId w:val="11"/>
  </w:num>
  <w:num w:numId="12">
    <w:abstractNumId w:val="1"/>
  </w:num>
  <w:num w:numId="13">
    <w:abstractNumId w:val="14"/>
  </w:num>
  <w:num w:numId="14">
    <w:abstractNumId w:val="17"/>
  </w:num>
  <w:num w:numId="15">
    <w:abstractNumId w:val="6"/>
  </w:num>
  <w:num w:numId="16">
    <w:abstractNumId w:val="5"/>
  </w:num>
  <w:num w:numId="17">
    <w:abstractNumId w:val="18"/>
  </w:num>
  <w:num w:numId="18">
    <w:abstractNumId w:val="20"/>
  </w:num>
  <w:num w:numId="19">
    <w:abstractNumId w:val="16"/>
  </w:num>
  <w:num w:numId="20">
    <w:abstractNumId w:val="13"/>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BD"/>
    <w:rsid w:val="000037A1"/>
    <w:rsid w:val="00010255"/>
    <w:rsid w:val="00026997"/>
    <w:rsid w:val="00027E5B"/>
    <w:rsid w:val="000304A6"/>
    <w:rsid w:val="00032F04"/>
    <w:rsid w:val="000344D3"/>
    <w:rsid w:val="00035B85"/>
    <w:rsid w:val="00043218"/>
    <w:rsid w:val="0004407B"/>
    <w:rsid w:val="000448E4"/>
    <w:rsid w:val="00044FAD"/>
    <w:rsid w:val="00052DD3"/>
    <w:rsid w:val="00064C8C"/>
    <w:rsid w:val="000717DE"/>
    <w:rsid w:val="00075B78"/>
    <w:rsid w:val="00086468"/>
    <w:rsid w:val="000A7F8C"/>
    <w:rsid w:val="000C43FB"/>
    <w:rsid w:val="000E6758"/>
    <w:rsid w:val="000F389D"/>
    <w:rsid w:val="001008E5"/>
    <w:rsid w:val="00100B60"/>
    <w:rsid w:val="00121196"/>
    <w:rsid w:val="00121635"/>
    <w:rsid w:val="0012325E"/>
    <w:rsid w:val="001355A3"/>
    <w:rsid w:val="00142F27"/>
    <w:rsid w:val="00147CAC"/>
    <w:rsid w:val="001502A7"/>
    <w:rsid w:val="00153F2E"/>
    <w:rsid w:val="001723F4"/>
    <w:rsid w:val="00174B71"/>
    <w:rsid w:val="001816B3"/>
    <w:rsid w:val="0018547E"/>
    <w:rsid w:val="00186D50"/>
    <w:rsid w:val="001959AE"/>
    <w:rsid w:val="00195E5E"/>
    <w:rsid w:val="001963AB"/>
    <w:rsid w:val="0019774A"/>
    <w:rsid w:val="001A25F5"/>
    <w:rsid w:val="001A2EE4"/>
    <w:rsid w:val="001A37B3"/>
    <w:rsid w:val="001A6B27"/>
    <w:rsid w:val="001A7485"/>
    <w:rsid w:val="001C2B11"/>
    <w:rsid w:val="001C554D"/>
    <w:rsid w:val="001C6A62"/>
    <w:rsid w:val="001D33BC"/>
    <w:rsid w:val="001E566A"/>
    <w:rsid w:val="001F4F3D"/>
    <w:rsid w:val="001F55A8"/>
    <w:rsid w:val="0020445B"/>
    <w:rsid w:val="002056A1"/>
    <w:rsid w:val="00206726"/>
    <w:rsid w:val="00210A4D"/>
    <w:rsid w:val="00217CC0"/>
    <w:rsid w:val="00225F8E"/>
    <w:rsid w:val="00230E04"/>
    <w:rsid w:val="002540B6"/>
    <w:rsid w:val="002545E2"/>
    <w:rsid w:val="00261051"/>
    <w:rsid w:val="00261099"/>
    <w:rsid w:val="00261353"/>
    <w:rsid w:val="0026421C"/>
    <w:rsid w:val="00276A9E"/>
    <w:rsid w:val="00277AB2"/>
    <w:rsid w:val="00282E4E"/>
    <w:rsid w:val="0029356F"/>
    <w:rsid w:val="002A7751"/>
    <w:rsid w:val="002B3A61"/>
    <w:rsid w:val="002C367D"/>
    <w:rsid w:val="002D19F2"/>
    <w:rsid w:val="002D3B0B"/>
    <w:rsid w:val="002E4D13"/>
    <w:rsid w:val="002F619E"/>
    <w:rsid w:val="00302D96"/>
    <w:rsid w:val="00317B6C"/>
    <w:rsid w:val="00326FF2"/>
    <w:rsid w:val="00333F5B"/>
    <w:rsid w:val="00351311"/>
    <w:rsid w:val="00352A92"/>
    <w:rsid w:val="003654F9"/>
    <w:rsid w:val="00365E5C"/>
    <w:rsid w:val="003733A6"/>
    <w:rsid w:val="00382748"/>
    <w:rsid w:val="0039492B"/>
    <w:rsid w:val="003A3A9A"/>
    <w:rsid w:val="003B2DC8"/>
    <w:rsid w:val="003B3399"/>
    <w:rsid w:val="003D1DE6"/>
    <w:rsid w:val="003E631F"/>
    <w:rsid w:val="0041380A"/>
    <w:rsid w:val="004144E5"/>
    <w:rsid w:val="00417F5C"/>
    <w:rsid w:val="004416B9"/>
    <w:rsid w:val="004520A6"/>
    <w:rsid w:val="0045237D"/>
    <w:rsid w:val="004653E2"/>
    <w:rsid w:val="00474D44"/>
    <w:rsid w:val="00476DB9"/>
    <w:rsid w:val="00487477"/>
    <w:rsid w:val="004968D7"/>
    <w:rsid w:val="004B6B28"/>
    <w:rsid w:val="004C5E75"/>
    <w:rsid w:val="004D10E9"/>
    <w:rsid w:val="004E33D0"/>
    <w:rsid w:val="004E7A63"/>
    <w:rsid w:val="004F4454"/>
    <w:rsid w:val="00502DCE"/>
    <w:rsid w:val="00512765"/>
    <w:rsid w:val="00512F23"/>
    <w:rsid w:val="005163FC"/>
    <w:rsid w:val="005221C0"/>
    <w:rsid w:val="00525658"/>
    <w:rsid w:val="0052710E"/>
    <w:rsid w:val="00533C16"/>
    <w:rsid w:val="00534113"/>
    <w:rsid w:val="00537DD7"/>
    <w:rsid w:val="00545E0A"/>
    <w:rsid w:val="005502F4"/>
    <w:rsid w:val="00560F3D"/>
    <w:rsid w:val="00563847"/>
    <w:rsid w:val="00566777"/>
    <w:rsid w:val="005762F6"/>
    <w:rsid w:val="00583FDF"/>
    <w:rsid w:val="00592E20"/>
    <w:rsid w:val="0059499B"/>
    <w:rsid w:val="005954DE"/>
    <w:rsid w:val="00597153"/>
    <w:rsid w:val="005B026E"/>
    <w:rsid w:val="005B2CBE"/>
    <w:rsid w:val="005C2D83"/>
    <w:rsid w:val="005C3DC1"/>
    <w:rsid w:val="005C47D3"/>
    <w:rsid w:val="005D6E90"/>
    <w:rsid w:val="005E15C0"/>
    <w:rsid w:val="005E7CA2"/>
    <w:rsid w:val="005F6C71"/>
    <w:rsid w:val="005F714C"/>
    <w:rsid w:val="00605A93"/>
    <w:rsid w:val="00605CC1"/>
    <w:rsid w:val="00610849"/>
    <w:rsid w:val="00610987"/>
    <w:rsid w:val="00611FDE"/>
    <w:rsid w:val="00617388"/>
    <w:rsid w:val="00625E84"/>
    <w:rsid w:val="006337B7"/>
    <w:rsid w:val="00651F7F"/>
    <w:rsid w:val="00652697"/>
    <w:rsid w:val="0065798C"/>
    <w:rsid w:val="00682AE9"/>
    <w:rsid w:val="00685B06"/>
    <w:rsid w:val="00687F3D"/>
    <w:rsid w:val="00691CD7"/>
    <w:rsid w:val="0069459A"/>
    <w:rsid w:val="006A6F1E"/>
    <w:rsid w:val="006A7221"/>
    <w:rsid w:val="006B1875"/>
    <w:rsid w:val="006C7102"/>
    <w:rsid w:val="006D5E4F"/>
    <w:rsid w:val="006D7BA5"/>
    <w:rsid w:val="006E2A06"/>
    <w:rsid w:val="006E3838"/>
    <w:rsid w:val="006E62A2"/>
    <w:rsid w:val="006F1840"/>
    <w:rsid w:val="00710C0B"/>
    <w:rsid w:val="00721CE8"/>
    <w:rsid w:val="0072597A"/>
    <w:rsid w:val="0073441D"/>
    <w:rsid w:val="007417C7"/>
    <w:rsid w:val="00742362"/>
    <w:rsid w:val="007439C4"/>
    <w:rsid w:val="00751C97"/>
    <w:rsid w:val="00752937"/>
    <w:rsid w:val="00753872"/>
    <w:rsid w:val="00753C38"/>
    <w:rsid w:val="00755FB4"/>
    <w:rsid w:val="007564D1"/>
    <w:rsid w:val="00761F5B"/>
    <w:rsid w:val="00764EFF"/>
    <w:rsid w:val="00767087"/>
    <w:rsid w:val="00774737"/>
    <w:rsid w:val="007836CA"/>
    <w:rsid w:val="007905DB"/>
    <w:rsid w:val="00792951"/>
    <w:rsid w:val="00797A73"/>
    <w:rsid w:val="007C32FD"/>
    <w:rsid w:val="007C52F3"/>
    <w:rsid w:val="007D3FFD"/>
    <w:rsid w:val="007E75EE"/>
    <w:rsid w:val="007F00E6"/>
    <w:rsid w:val="007F5246"/>
    <w:rsid w:val="0084565D"/>
    <w:rsid w:val="0085008C"/>
    <w:rsid w:val="0085140A"/>
    <w:rsid w:val="00856EAA"/>
    <w:rsid w:val="008670A2"/>
    <w:rsid w:val="0087215D"/>
    <w:rsid w:val="00872684"/>
    <w:rsid w:val="00876950"/>
    <w:rsid w:val="00885A92"/>
    <w:rsid w:val="0088768A"/>
    <w:rsid w:val="00897E86"/>
    <w:rsid w:val="008B5C00"/>
    <w:rsid w:val="008C053D"/>
    <w:rsid w:val="008C1038"/>
    <w:rsid w:val="008C3B0A"/>
    <w:rsid w:val="008D3189"/>
    <w:rsid w:val="008D6FEB"/>
    <w:rsid w:val="008E15EE"/>
    <w:rsid w:val="008E33EB"/>
    <w:rsid w:val="008F141F"/>
    <w:rsid w:val="008F1B02"/>
    <w:rsid w:val="008F1F8D"/>
    <w:rsid w:val="008F5B63"/>
    <w:rsid w:val="00910565"/>
    <w:rsid w:val="00912194"/>
    <w:rsid w:val="00922CCD"/>
    <w:rsid w:val="00924CE3"/>
    <w:rsid w:val="00937E12"/>
    <w:rsid w:val="009406E8"/>
    <w:rsid w:val="009413EF"/>
    <w:rsid w:val="00941508"/>
    <w:rsid w:val="00946758"/>
    <w:rsid w:val="00954382"/>
    <w:rsid w:val="009619A2"/>
    <w:rsid w:val="00961F05"/>
    <w:rsid w:val="0099215E"/>
    <w:rsid w:val="00994A6B"/>
    <w:rsid w:val="009A7BFC"/>
    <w:rsid w:val="009C675A"/>
    <w:rsid w:val="009D0952"/>
    <w:rsid w:val="009D3DC4"/>
    <w:rsid w:val="009E5076"/>
    <w:rsid w:val="009E50C5"/>
    <w:rsid w:val="009F4015"/>
    <w:rsid w:val="00A038C0"/>
    <w:rsid w:val="00A10855"/>
    <w:rsid w:val="00A109F1"/>
    <w:rsid w:val="00A27168"/>
    <w:rsid w:val="00A33158"/>
    <w:rsid w:val="00A40B03"/>
    <w:rsid w:val="00A436BC"/>
    <w:rsid w:val="00A44B2F"/>
    <w:rsid w:val="00A45728"/>
    <w:rsid w:val="00A45AEF"/>
    <w:rsid w:val="00A46C46"/>
    <w:rsid w:val="00A602E9"/>
    <w:rsid w:val="00A639C4"/>
    <w:rsid w:val="00A64B28"/>
    <w:rsid w:val="00A6674B"/>
    <w:rsid w:val="00A7394C"/>
    <w:rsid w:val="00A7477C"/>
    <w:rsid w:val="00A810BF"/>
    <w:rsid w:val="00AB1BA0"/>
    <w:rsid w:val="00AC0C77"/>
    <w:rsid w:val="00AC171E"/>
    <w:rsid w:val="00AC3F17"/>
    <w:rsid w:val="00AD0F3E"/>
    <w:rsid w:val="00AE59CE"/>
    <w:rsid w:val="00AF5B99"/>
    <w:rsid w:val="00B01DD3"/>
    <w:rsid w:val="00B04BBD"/>
    <w:rsid w:val="00B11C83"/>
    <w:rsid w:val="00B21DA4"/>
    <w:rsid w:val="00B30437"/>
    <w:rsid w:val="00B37202"/>
    <w:rsid w:val="00B37BDC"/>
    <w:rsid w:val="00B42109"/>
    <w:rsid w:val="00B42CB3"/>
    <w:rsid w:val="00B4600C"/>
    <w:rsid w:val="00B602DD"/>
    <w:rsid w:val="00B87287"/>
    <w:rsid w:val="00B87ABF"/>
    <w:rsid w:val="00B91625"/>
    <w:rsid w:val="00B92470"/>
    <w:rsid w:val="00BA1024"/>
    <w:rsid w:val="00BB5170"/>
    <w:rsid w:val="00BC011F"/>
    <w:rsid w:val="00BC01A4"/>
    <w:rsid w:val="00BC2CCB"/>
    <w:rsid w:val="00BC54DC"/>
    <w:rsid w:val="00BC5E02"/>
    <w:rsid w:val="00BE0ADF"/>
    <w:rsid w:val="00BE5640"/>
    <w:rsid w:val="00BF0276"/>
    <w:rsid w:val="00BF7D2B"/>
    <w:rsid w:val="00C231A8"/>
    <w:rsid w:val="00C23D8C"/>
    <w:rsid w:val="00C251D5"/>
    <w:rsid w:val="00C332C9"/>
    <w:rsid w:val="00C43636"/>
    <w:rsid w:val="00C575D9"/>
    <w:rsid w:val="00C62A14"/>
    <w:rsid w:val="00C72B7B"/>
    <w:rsid w:val="00C77B40"/>
    <w:rsid w:val="00C8262E"/>
    <w:rsid w:val="00C85742"/>
    <w:rsid w:val="00C869EB"/>
    <w:rsid w:val="00C91F6C"/>
    <w:rsid w:val="00C92D62"/>
    <w:rsid w:val="00C92EA9"/>
    <w:rsid w:val="00C94678"/>
    <w:rsid w:val="00CA2CBC"/>
    <w:rsid w:val="00CC1302"/>
    <w:rsid w:val="00CC55EB"/>
    <w:rsid w:val="00CC784E"/>
    <w:rsid w:val="00CD2578"/>
    <w:rsid w:val="00CE02D2"/>
    <w:rsid w:val="00CE0E2F"/>
    <w:rsid w:val="00CE2856"/>
    <w:rsid w:val="00CE736E"/>
    <w:rsid w:val="00CF3D76"/>
    <w:rsid w:val="00D04DF7"/>
    <w:rsid w:val="00D223C0"/>
    <w:rsid w:val="00D23E16"/>
    <w:rsid w:val="00D300A2"/>
    <w:rsid w:val="00D46DB5"/>
    <w:rsid w:val="00D52D20"/>
    <w:rsid w:val="00D5509C"/>
    <w:rsid w:val="00D65763"/>
    <w:rsid w:val="00D70E1B"/>
    <w:rsid w:val="00D8160C"/>
    <w:rsid w:val="00D831A9"/>
    <w:rsid w:val="00D8493F"/>
    <w:rsid w:val="00D85CEF"/>
    <w:rsid w:val="00D9183C"/>
    <w:rsid w:val="00D92C9D"/>
    <w:rsid w:val="00DA01D6"/>
    <w:rsid w:val="00DA39E7"/>
    <w:rsid w:val="00DA7BB9"/>
    <w:rsid w:val="00DB30A1"/>
    <w:rsid w:val="00DB60B0"/>
    <w:rsid w:val="00DC2E24"/>
    <w:rsid w:val="00DC654B"/>
    <w:rsid w:val="00DE07CD"/>
    <w:rsid w:val="00DE761A"/>
    <w:rsid w:val="00DF43CA"/>
    <w:rsid w:val="00DF7E37"/>
    <w:rsid w:val="00E03DEC"/>
    <w:rsid w:val="00E06791"/>
    <w:rsid w:val="00E078AB"/>
    <w:rsid w:val="00E12CE3"/>
    <w:rsid w:val="00E13041"/>
    <w:rsid w:val="00E131AD"/>
    <w:rsid w:val="00E1320A"/>
    <w:rsid w:val="00E17A39"/>
    <w:rsid w:val="00E17A41"/>
    <w:rsid w:val="00E206F0"/>
    <w:rsid w:val="00E22783"/>
    <w:rsid w:val="00E26DB8"/>
    <w:rsid w:val="00E37668"/>
    <w:rsid w:val="00E4224A"/>
    <w:rsid w:val="00E45EC3"/>
    <w:rsid w:val="00E4776D"/>
    <w:rsid w:val="00E47C6B"/>
    <w:rsid w:val="00E52C08"/>
    <w:rsid w:val="00E52E17"/>
    <w:rsid w:val="00E61863"/>
    <w:rsid w:val="00EA0F31"/>
    <w:rsid w:val="00EA2406"/>
    <w:rsid w:val="00EB1127"/>
    <w:rsid w:val="00EB6EA8"/>
    <w:rsid w:val="00EC45B2"/>
    <w:rsid w:val="00EC4724"/>
    <w:rsid w:val="00EC5C4C"/>
    <w:rsid w:val="00ED6811"/>
    <w:rsid w:val="00EE6433"/>
    <w:rsid w:val="00EF4DCC"/>
    <w:rsid w:val="00F16CAB"/>
    <w:rsid w:val="00F37200"/>
    <w:rsid w:val="00F50B35"/>
    <w:rsid w:val="00F576EF"/>
    <w:rsid w:val="00F65B04"/>
    <w:rsid w:val="00F70241"/>
    <w:rsid w:val="00F70E63"/>
    <w:rsid w:val="00F87FFB"/>
    <w:rsid w:val="00F9472B"/>
    <w:rsid w:val="00FA6538"/>
    <w:rsid w:val="00FA7E07"/>
    <w:rsid w:val="00FB16E0"/>
    <w:rsid w:val="00FB19CE"/>
    <w:rsid w:val="00FB61D1"/>
    <w:rsid w:val="00FB7607"/>
    <w:rsid w:val="00FD44E6"/>
    <w:rsid w:val="00FE0F79"/>
    <w:rsid w:val="00FF5A87"/>
    <w:rsid w:val="00FF662E"/>
    <w:rsid w:val="00FF673F"/>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CAFF"/>
  <w15:docId w15:val="{719C337A-51E4-442D-B27C-3F30A540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BB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04BB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691C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BBD"/>
    <w:rPr>
      <w:rFonts w:ascii="Calibri Light" w:eastAsia="Times New Roman" w:hAnsi="Calibri Light" w:cs="Times New Roman"/>
      <w:b/>
      <w:bCs/>
      <w:kern w:val="32"/>
      <w:sz w:val="32"/>
      <w:szCs w:val="32"/>
      <w:lang w:val="x-none" w:eastAsia="x-none"/>
    </w:rPr>
  </w:style>
  <w:style w:type="paragraph" w:styleId="NormalWeb">
    <w:name w:val="Normal (Web)"/>
    <w:basedOn w:val="Normal"/>
    <w:link w:val="NormalWebChar"/>
    <w:uiPriority w:val="99"/>
    <w:unhideWhenUsed/>
    <w:rsid w:val="00B04BBD"/>
    <w:pPr>
      <w:spacing w:before="100" w:beforeAutospacing="1" w:after="100" w:afterAutospacing="1"/>
    </w:pPr>
    <w:rPr>
      <w:sz w:val="24"/>
      <w:szCs w:val="24"/>
      <w:lang w:val="x-none" w:eastAsia="x-none"/>
    </w:rPr>
  </w:style>
  <w:style w:type="character" w:customStyle="1" w:styleId="NormalWebChar">
    <w:name w:val="Normal (Web) Char"/>
    <w:link w:val="NormalWeb"/>
    <w:locked/>
    <w:rsid w:val="00B04BBD"/>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B04BBD"/>
    <w:pPr>
      <w:spacing w:after="120"/>
    </w:pPr>
    <w:rPr>
      <w:lang w:val="x-none" w:eastAsia="x-none"/>
    </w:rPr>
  </w:style>
  <w:style w:type="character" w:customStyle="1" w:styleId="BodyTextChar">
    <w:name w:val="Body Text Char"/>
    <w:basedOn w:val="DefaultParagraphFont"/>
    <w:link w:val="BodyText"/>
    <w:rsid w:val="00B04BBD"/>
    <w:rPr>
      <w:rFonts w:ascii="Times New Roman" w:eastAsia="Times New Roman" w:hAnsi="Times New Roman" w:cs="Times New Roman"/>
      <w:sz w:val="28"/>
      <w:szCs w:val="28"/>
      <w:lang w:val="x-none" w:eastAsia="x-none"/>
    </w:rPr>
  </w:style>
  <w:style w:type="paragraph" w:styleId="ListParagraph">
    <w:name w:val="List Paragraph"/>
    <w:basedOn w:val="Normal"/>
    <w:uiPriority w:val="34"/>
    <w:qFormat/>
    <w:rsid w:val="00326FF2"/>
    <w:pPr>
      <w:ind w:left="720"/>
      <w:contextualSpacing/>
    </w:pPr>
    <w:rPr>
      <w:sz w:val="24"/>
      <w:szCs w:val="24"/>
    </w:rPr>
  </w:style>
  <w:style w:type="table" w:styleId="TableGrid">
    <w:name w:val="Table Grid"/>
    <w:basedOn w:val="TableNormal"/>
    <w:uiPriority w:val="59"/>
    <w:rsid w:val="0032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26FF2"/>
    <w:rPr>
      <w:sz w:val="20"/>
      <w:szCs w:val="20"/>
    </w:rPr>
  </w:style>
  <w:style w:type="character" w:customStyle="1" w:styleId="FootnoteTextChar">
    <w:name w:val="Footnote Text Char"/>
    <w:basedOn w:val="DefaultParagraphFont"/>
    <w:link w:val="FootnoteText"/>
    <w:uiPriority w:val="99"/>
    <w:rsid w:val="00326FF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26FF2"/>
    <w:rPr>
      <w:vertAlign w:val="superscript"/>
    </w:rPr>
  </w:style>
  <w:style w:type="paragraph" w:styleId="Header">
    <w:name w:val="header"/>
    <w:basedOn w:val="Normal"/>
    <w:link w:val="HeaderChar"/>
    <w:uiPriority w:val="99"/>
    <w:unhideWhenUsed/>
    <w:rsid w:val="00326FF2"/>
    <w:pPr>
      <w:tabs>
        <w:tab w:val="center" w:pos="4680"/>
        <w:tab w:val="right" w:pos="9360"/>
      </w:tabs>
    </w:pPr>
    <w:rPr>
      <w:sz w:val="24"/>
      <w:szCs w:val="24"/>
    </w:rPr>
  </w:style>
  <w:style w:type="character" w:customStyle="1" w:styleId="HeaderChar">
    <w:name w:val="Header Char"/>
    <w:basedOn w:val="DefaultParagraphFont"/>
    <w:link w:val="Header"/>
    <w:uiPriority w:val="99"/>
    <w:rsid w:val="00326F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6FF2"/>
    <w:pPr>
      <w:tabs>
        <w:tab w:val="center" w:pos="4680"/>
        <w:tab w:val="right" w:pos="9360"/>
      </w:tabs>
    </w:pPr>
    <w:rPr>
      <w:sz w:val="24"/>
      <w:szCs w:val="24"/>
    </w:rPr>
  </w:style>
  <w:style w:type="character" w:customStyle="1" w:styleId="FooterChar">
    <w:name w:val="Footer Char"/>
    <w:basedOn w:val="DefaultParagraphFont"/>
    <w:link w:val="Footer"/>
    <w:uiPriority w:val="99"/>
    <w:rsid w:val="00326F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FF2"/>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691CD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7F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1427">
      <w:bodyDiv w:val="1"/>
      <w:marLeft w:val="0"/>
      <w:marRight w:val="0"/>
      <w:marTop w:val="0"/>
      <w:marBottom w:val="0"/>
      <w:divBdr>
        <w:top w:val="none" w:sz="0" w:space="0" w:color="auto"/>
        <w:left w:val="none" w:sz="0" w:space="0" w:color="auto"/>
        <w:bottom w:val="none" w:sz="0" w:space="0" w:color="auto"/>
        <w:right w:val="none" w:sz="0" w:space="0" w:color="auto"/>
      </w:divBdr>
    </w:div>
    <w:div w:id="157381458">
      <w:bodyDiv w:val="1"/>
      <w:marLeft w:val="0"/>
      <w:marRight w:val="0"/>
      <w:marTop w:val="0"/>
      <w:marBottom w:val="0"/>
      <w:divBdr>
        <w:top w:val="none" w:sz="0" w:space="0" w:color="auto"/>
        <w:left w:val="none" w:sz="0" w:space="0" w:color="auto"/>
        <w:bottom w:val="none" w:sz="0" w:space="0" w:color="auto"/>
        <w:right w:val="none" w:sz="0" w:space="0" w:color="auto"/>
      </w:divBdr>
    </w:div>
    <w:div w:id="198669197">
      <w:bodyDiv w:val="1"/>
      <w:marLeft w:val="0"/>
      <w:marRight w:val="0"/>
      <w:marTop w:val="0"/>
      <w:marBottom w:val="0"/>
      <w:divBdr>
        <w:top w:val="none" w:sz="0" w:space="0" w:color="auto"/>
        <w:left w:val="none" w:sz="0" w:space="0" w:color="auto"/>
        <w:bottom w:val="none" w:sz="0" w:space="0" w:color="auto"/>
        <w:right w:val="none" w:sz="0" w:space="0" w:color="auto"/>
      </w:divBdr>
    </w:div>
    <w:div w:id="296648320">
      <w:bodyDiv w:val="1"/>
      <w:marLeft w:val="0"/>
      <w:marRight w:val="0"/>
      <w:marTop w:val="0"/>
      <w:marBottom w:val="0"/>
      <w:divBdr>
        <w:top w:val="none" w:sz="0" w:space="0" w:color="auto"/>
        <w:left w:val="none" w:sz="0" w:space="0" w:color="auto"/>
        <w:bottom w:val="none" w:sz="0" w:space="0" w:color="auto"/>
        <w:right w:val="none" w:sz="0" w:space="0" w:color="auto"/>
      </w:divBdr>
    </w:div>
    <w:div w:id="442654674">
      <w:bodyDiv w:val="1"/>
      <w:marLeft w:val="0"/>
      <w:marRight w:val="0"/>
      <w:marTop w:val="0"/>
      <w:marBottom w:val="0"/>
      <w:divBdr>
        <w:top w:val="none" w:sz="0" w:space="0" w:color="auto"/>
        <w:left w:val="none" w:sz="0" w:space="0" w:color="auto"/>
        <w:bottom w:val="none" w:sz="0" w:space="0" w:color="auto"/>
        <w:right w:val="none" w:sz="0" w:space="0" w:color="auto"/>
      </w:divBdr>
    </w:div>
    <w:div w:id="454375489">
      <w:bodyDiv w:val="1"/>
      <w:marLeft w:val="0"/>
      <w:marRight w:val="0"/>
      <w:marTop w:val="0"/>
      <w:marBottom w:val="0"/>
      <w:divBdr>
        <w:top w:val="none" w:sz="0" w:space="0" w:color="auto"/>
        <w:left w:val="none" w:sz="0" w:space="0" w:color="auto"/>
        <w:bottom w:val="none" w:sz="0" w:space="0" w:color="auto"/>
        <w:right w:val="none" w:sz="0" w:space="0" w:color="auto"/>
      </w:divBdr>
    </w:div>
    <w:div w:id="494567382">
      <w:bodyDiv w:val="1"/>
      <w:marLeft w:val="0"/>
      <w:marRight w:val="0"/>
      <w:marTop w:val="0"/>
      <w:marBottom w:val="0"/>
      <w:divBdr>
        <w:top w:val="none" w:sz="0" w:space="0" w:color="auto"/>
        <w:left w:val="none" w:sz="0" w:space="0" w:color="auto"/>
        <w:bottom w:val="none" w:sz="0" w:space="0" w:color="auto"/>
        <w:right w:val="none" w:sz="0" w:space="0" w:color="auto"/>
      </w:divBdr>
    </w:div>
    <w:div w:id="522402143">
      <w:bodyDiv w:val="1"/>
      <w:marLeft w:val="0"/>
      <w:marRight w:val="0"/>
      <w:marTop w:val="0"/>
      <w:marBottom w:val="0"/>
      <w:divBdr>
        <w:top w:val="none" w:sz="0" w:space="0" w:color="auto"/>
        <w:left w:val="none" w:sz="0" w:space="0" w:color="auto"/>
        <w:bottom w:val="none" w:sz="0" w:space="0" w:color="auto"/>
        <w:right w:val="none" w:sz="0" w:space="0" w:color="auto"/>
      </w:divBdr>
    </w:div>
    <w:div w:id="606429784">
      <w:bodyDiv w:val="1"/>
      <w:marLeft w:val="0"/>
      <w:marRight w:val="0"/>
      <w:marTop w:val="0"/>
      <w:marBottom w:val="0"/>
      <w:divBdr>
        <w:top w:val="none" w:sz="0" w:space="0" w:color="auto"/>
        <w:left w:val="none" w:sz="0" w:space="0" w:color="auto"/>
        <w:bottom w:val="none" w:sz="0" w:space="0" w:color="auto"/>
        <w:right w:val="none" w:sz="0" w:space="0" w:color="auto"/>
      </w:divBdr>
    </w:div>
    <w:div w:id="868028490">
      <w:bodyDiv w:val="1"/>
      <w:marLeft w:val="0"/>
      <w:marRight w:val="0"/>
      <w:marTop w:val="0"/>
      <w:marBottom w:val="0"/>
      <w:divBdr>
        <w:top w:val="none" w:sz="0" w:space="0" w:color="auto"/>
        <w:left w:val="none" w:sz="0" w:space="0" w:color="auto"/>
        <w:bottom w:val="none" w:sz="0" w:space="0" w:color="auto"/>
        <w:right w:val="none" w:sz="0" w:space="0" w:color="auto"/>
      </w:divBdr>
    </w:div>
    <w:div w:id="934903791">
      <w:bodyDiv w:val="1"/>
      <w:marLeft w:val="0"/>
      <w:marRight w:val="0"/>
      <w:marTop w:val="0"/>
      <w:marBottom w:val="0"/>
      <w:divBdr>
        <w:top w:val="none" w:sz="0" w:space="0" w:color="auto"/>
        <w:left w:val="none" w:sz="0" w:space="0" w:color="auto"/>
        <w:bottom w:val="none" w:sz="0" w:space="0" w:color="auto"/>
        <w:right w:val="none" w:sz="0" w:space="0" w:color="auto"/>
      </w:divBdr>
    </w:div>
    <w:div w:id="971209649">
      <w:bodyDiv w:val="1"/>
      <w:marLeft w:val="0"/>
      <w:marRight w:val="0"/>
      <w:marTop w:val="0"/>
      <w:marBottom w:val="0"/>
      <w:divBdr>
        <w:top w:val="none" w:sz="0" w:space="0" w:color="auto"/>
        <w:left w:val="none" w:sz="0" w:space="0" w:color="auto"/>
        <w:bottom w:val="none" w:sz="0" w:space="0" w:color="auto"/>
        <w:right w:val="none" w:sz="0" w:space="0" w:color="auto"/>
      </w:divBdr>
    </w:div>
    <w:div w:id="981033789">
      <w:bodyDiv w:val="1"/>
      <w:marLeft w:val="0"/>
      <w:marRight w:val="0"/>
      <w:marTop w:val="0"/>
      <w:marBottom w:val="0"/>
      <w:divBdr>
        <w:top w:val="none" w:sz="0" w:space="0" w:color="auto"/>
        <w:left w:val="none" w:sz="0" w:space="0" w:color="auto"/>
        <w:bottom w:val="none" w:sz="0" w:space="0" w:color="auto"/>
        <w:right w:val="none" w:sz="0" w:space="0" w:color="auto"/>
      </w:divBdr>
    </w:div>
    <w:div w:id="1010642445">
      <w:bodyDiv w:val="1"/>
      <w:marLeft w:val="0"/>
      <w:marRight w:val="0"/>
      <w:marTop w:val="0"/>
      <w:marBottom w:val="0"/>
      <w:divBdr>
        <w:top w:val="none" w:sz="0" w:space="0" w:color="auto"/>
        <w:left w:val="none" w:sz="0" w:space="0" w:color="auto"/>
        <w:bottom w:val="none" w:sz="0" w:space="0" w:color="auto"/>
        <w:right w:val="none" w:sz="0" w:space="0" w:color="auto"/>
      </w:divBdr>
    </w:div>
    <w:div w:id="1027945907">
      <w:bodyDiv w:val="1"/>
      <w:marLeft w:val="0"/>
      <w:marRight w:val="0"/>
      <w:marTop w:val="0"/>
      <w:marBottom w:val="0"/>
      <w:divBdr>
        <w:top w:val="none" w:sz="0" w:space="0" w:color="auto"/>
        <w:left w:val="none" w:sz="0" w:space="0" w:color="auto"/>
        <w:bottom w:val="none" w:sz="0" w:space="0" w:color="auto"/>
        <w:right w:val="none" w:sz="0" w:space="0" w:color="auto"/>
      </w:divBdr>
    </w:div>
    <w:div w:id="1068963990">
      <w:bodyDiv w:val="1"/>
      <w:marLeft w:val="0"/>
      <w:marRight w:val="0"/>
      <w:marTop w:val="0"/>
      <w:marBottom w:val="0"/>
      <w:divBdr>
        <w:top w:val="none" w:sz="0" w:space="0" w:color="auto"/>
        <w:left w:val="none" w:sz="0" w:space="0" w:color="auto"/>
        <w:bottom w:val="none" w:sz="0" w:space="0" w:color="auto"/>
        <w:right w:val="none" w:sz="0" w:space="0" w:color="auto"/>
      </w:divBdr>
    </w:div>
    <w:div w:id="1096248657">
      <w:bodyDiv w:val="1"/>
      <w:marLeft w:val="0"/>
      <w:marRight w:val="0"/>
      <w:marTop w:val="0"/>
      <w:marBottom w:val="0"/>
      <w:divBdr>
        <w:top w:val="none" w:sz="0" w:space="0" w:color="auto"/>
        <w:left w:val="none" w:sz="0" w:space="0" w:color="auto"/>
        <w:bottom w:val="none" w:sz="0" w:space="0" w:color="auto"/>
        <w:right w:val="none" w:sz="0" w:space="0" w:color="auto"/>
      </w:divBdr>
    </w:div>
    <w:div w:id="1205672806">
      <w:bodyDiv w:val="1"/>
      <w:marLeft w:val="0"/>
      <w:marRight w:val="0"/>
      <w:marTop w:val="0"/>
      <w:marBottom w:val="0"/>
      <w:divBdr>
        <w:top w:val="none" w:sz="0" w:space="0" w:color="auto"/>
        <w:left w:val="none" w:sz="0" w:space="0" w:color="auto"/>
        <w:bottom w:val="none" w:sz="0" w:space="0" w:color="auto"/>
        <w:right w:val="none" w:sz="0" w:space="0" w:color="auto"/>
      </w:divBdr>
    </w:div>
    <w:div w:id="1280187941">
      <w:bodyDiv w:val="1"/>
      <w:marLeft w:val="0"/>
      <w:marRight w:val="0"/>
      <w:marTop w:val="0"/>
      <w:marBottom w:val="0"/>
      <w:divBdr>
        <w:top w:val="none" w:sz="0" w:space="0" w:color="auto"/>
        <w:left w:val="none" w:sz="0" w:space="0" w:color="auto"/>
        <w:bottom w:val="none" w:sz="0" w:space="0" w:color="auto"/>
        <w:right w:val="none" w:sz="0" w:space="0" w:color="auto"/>
      </w:divBdr>
    </w:div>
    <w:div w:id="1383284702">
      <w:bodyDiv w:val="1"/>
      <w:marLeft w:val="0"/>
      <w:marRight w:val="0"/>
      <w:marTop w:val="0"/>
      <w:marBottom w:val="0"/>
      <w:divBdr>
        <w:top w:val="none" w:sz="0" w:space="0" w:color="auto"/>
        <w:left w:val="none" w:sz="0" w:space="0" w:color="auto"/>
        <w:bottom w:val="none" w:sz="0" w:space="0" w:color="auto"/>
        <w:right w:val="none" w:sz="0" w:space="0" w:color="auto"/>
      </w:divBdr>
    </w:div>
    <w:div w:id="1401831293">
      <w:bodyDiv w:val="1"/>
      <w:marLeft w:val="0"/>
      <w:marRight w:val="0"/>
      <w:marTop w:val="0"/>
      <w:marBottom w:val="0"/>
      <w:divBdr>
        <w:top w:val="none" w:sz="0" w:space="0" w:color="auto"/>
        <w:left w:val="none" w:sz="0" w:space="0" w:color="auto"/>
        <w:bottom w:val="none" w:sz="0" w:space="0" w:color="auto"/>
        <w:right w:val="none" w:sz="0" w:space="0" w:color="auto"/>
      </w:divBdr>
    </w:div>
    <w:div w:id="1493911115">
      <w:bodyDiv w:val="1"/>
      <w:marLeft w:val="0"/>
      <w:marRight w:val="0"/>
      <w:marTop w:val="0"/>
      <w:marBottom w:val="0"/>
      <w:divBdr>
        <w:top w:val="none" w:sz="0" w:space="0" w:color="auto"/>
        <w:left w:val="none" w:sz="0" w:space="0" w:color="auto"/>
        <w:bottom w:val="none" w:sz="0" w:space="0" w:color="auto"/>
        <w:right w:val="none" w:sz="0" w:space="0" w:color="auto"/>
      </w:divBdr>
    </w:div>
    <w:div w:id="1501846125">
      <w:bodyDiv w:val="1"/>
      <w:marLeft w:val="0"/>
      <w:marRight w:val="0"/>
      <w:marTop w:val="0"/>
      <w:marBottom w:val="0"/>
      <w:divBdr>
        <w:top w:val="none" w:sz="0" w:space="0" w:color="auto"/>
        <w:left w:val="none" w:sz="0" w:space="0" w:color="auto"/>
        <w:bottom w:val="none" w:sz="0" w:space="0" w:color="auto"/>
        <w:right w:val="none" w:sz="0" w:space="0" w:color="auto"/>
      </w:divBdr>
    </w:div>
    <w:div w:id="1555696500">
      <w:bodyDiv w:val="1"/>
      <w:marLeft w:val="0"/>
      <w:marRight w:val="0"/>
      <w:marTop w:val="0"/>
      <w:marBottom w:val="0"/>
      <w:divBdr>
        <w:top w:val="none" w:sz="0" w:space="0" w:color="auto"/>
        <w:left w:val="none" w:sz="0" w:space="0" w:color="auto"/>
        <w:bottom w:val="none" w:sz="0" w:space="0" w:color="auto"/>
        <w:right w:val="none" w:sz="0" w:space="0" w:color="auto"/>
      </w:divBdr>
    </w:div>
    <w:div w:id="1654523733">
      <w:bodyDiv w:val="1"/>
      <w:marLeft w:val="0"/>
      <w:marRight w:val="0"/>
      <w:marTop w:val="0"/>
      <w:marBottom w:val="0"/>
      <w:divBdr>
        <w:top w:val="none" w:sz="0" w:space="0" w:color="auto"/>
        <w:left w:val="none" w:sz="0" w:space="0" w:color="auto"/>
        <w:bottom w:val="none" w:sz="0" w:space="0" w:color="auto"/>
        <w:right w:val="none" w:sz="0" w:space="0" w:color="auto"/>
      </w:divBdr>
      <w:divsChild>
        <w:div w:id="738988616">
          <w:marLeft w:val="0"/>
          <w:marRight w:val="0"/>
          <w:marTop w:val="0"/>
          <w:marBottom w:val="0"/>
          <w:divBdr>
            <w:top w:val="none" w:sz="0" w:space="0" w:color="auto"/>
            <w:left w:val="none" w:sz="0" w:space="0" w:color="auto"/>
            <w:bottom w:val="none" w:sz="0" w:space="0" w:color="auto"/>
            <w:right w:val="none" w:sz="0" w:space="0" w:color="auto"/>
          </w:divBdr>
        </w:div>
      </w:divsChild>
    </w:div>
    <w:div w:id="1681932283">
      <w:bodyDiv w:val="1"/>
      <w:marLeft w:val="0"/>
      <w:marRight w:val="0"/>
      <w:marTop w:val="0"/>
      <w:marBottom w:val="0"/>
      <w:divBdr>
        <w:top w:val="none" w:sz="0" w:space="0" w:color="auto"/>
        <w:left w:val="none" w:sz="0" w:space="0" w:color="auto"/>
        <w:bottom w:val="none" w:sz="0" w:space="0" w:color="auto"/>
        <w:right w:val="none" w:sz="0" w:space="0" w:color="auto"/>
      </w:divBdr>
    </w:div>
    <w:div w:id="1759597032">
      <w:bodyDiv w:val="1"/>
      <w:marLeft w:val="0"/>
      <w:marRight w:val="0"/>
      <w:marTop w:val="0"/>
      <w:marBottom w:val="0"/>
      <w:divBdr>
        <w:top w:val="none" w:sz="0" w:space="0" w:color="auto"/>
        <w:left w:val="none" w:sz="0" w:space="0" w:color="auto"/>
        <w:bottom w:val="none" w:sz="0" w:space="0" w:color="auto"/>
        <w:right w:val="none" w:sz="0" w:space="0" w:color="auto"/>
      </w:divBdr>
    </w:div>
    <w:div w:id="1854490607">
      <w:bodyDiv w:val="1"/>
      <w:marLeft w:val="0"/>
      <w:marRight w:val="0"/>
      <w:marTop w:val="0"/>
      <w:marBottom w:val="0"/>
      <w:divBdr>
        <w:top w:val="none" w:sz="0" w:space="0" w:color="auto"/>
        <w:left w:val="none" w:sz="0" w:space="0" w:color="auto"/>
        <w:bottom w:val="none" w:sz="0" w:space="0" w:color="auto"/>
        <w:right w:val="none" w:sz="0" w:space="0" w:color="auto"/>
      </w:divBdr>
    </w:div>
    <w:div w:id="1986469286">
      <w:bodyDiv w:val="1"/>
      <w:marLeft w:val="0"/>
      <w:marRight w:val="0"/>
      <w:marTop w:val="0"/>
      <w:marBottom w:val="0"/>
      <w:divBdr>
        <w:top w:val="none" w:sz="0" w:space="0" w:color="auto"/>
        <w:left w:val="none" w:sz="0" w:space="0" w:color="auto"/>
        <w:bottom w:val="none" w:sz="0" w:space="0" w:color="auto"/>
        <w:right w:val="none" w:sz="0" w:space="0" w:color="auto"/>
      </w:divBdr>
    </w:div>
    <w:div w:id="2054763623">
      <w:bodyDiv w:val="1"/>
      <w:marLeft w:val="0"/>
      <w:marRight w:val="0"/>
      <w:marTop w:val="0"/>
      <w:marBottom w:val="0"/>
      <w:divBdr>
        <w:top w:val="none" w:sz="0" w:space="0" w:color="auto"/>
        <w:left w:val="none" w:sz="0" w:space="0" w:color="auto"/>
        <w:bottom w:val="none" w:sz="0" w:space="0" w:color="auto"/>
        <w:right w:val="none" w:sz="0" w:space="0" w:color="auto"/>
      </w:divBdr>
    </w:div>
    <w:div w:id="21132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6A4C-E4D1-48FF-9B85-A57503EB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 Type Foundry, Tom Grace, and the Monotype Design Team;Hue Tri</dc:creator>
  <cp:keywords/>
  <dc:description/>
  <cp:lastModifiedBy>Windows User</cp:lastModifiedBy>
  <cp:revision>19</cp:revision>
  <cp:lastPrinted>2025-06-06T01:12:00Z</cp:lastPrinted>
  <dcterms:created xsi:type="dcterms:W3CDTF">2025-06-05T08:21:00Z</dcterms:created>
  <dcterms:modified xsi:type="dcterms:W3CDTF">2025-06-06T07:35:00Z</dcterms:modified>
</cp:coreProperties>
</file>